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9907" w14:textId="77777777" w:rsidR="007D68CD" w:rsidRDefault="007D68CD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5B8E526A" w14:textId="77777777" w:rsidR="007D68CD" w:rsidRDefault="007D68CD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5DBA7EFB" w14:textId="77777777" w:rsidR="007D68CD" w:rsidRDefault="007D68CD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477C276E" w14:textId="77777777" w:rsidR="007D68CD" w:rsidRDefault="007D68CD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29785E99" w14:textId="77777777" w:rsidR="007D68CD" w:rsidRDefault="007D68CD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0010771D" w14:textId="265F7710" w:rsidR="003B244F" w:rsidRPr="007D68CD" w:rsidRDefault="003B244F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 xml:space="preserve">KEPUTUSAN GUBERNUR </w:t>
      </w:r>
      <w:r w:rsidR="00A800A1" w:rsidRPr="007D68CD">
        <w:rPr>
          <w:rFonts w:ascii="Bookman Old Style" w:hAnsi="Bookman Old Style"/>
          <w:sz w:val="24"/>
          <w:szCs w:val="24"/>
        </w:rPr>
        <w:t>BANTEN</w:t>
      </w:r>
      <w:r w:rsidR="00543AD6">
        <w:rPr>
          <w:rFonts w:ascii="Bookman Old Style" w:hAnsi="Bookman Old Style"/>
          <w:sz w:val="24"/>
          <w:szCs w:val="24"/>
        </w:rPr>
        <w:t>……….</w:t>
      </w:r>
    </w:p>
    <w:p w14:paraId="756D5428" w14:textId="655CE6A9" w:rsidR="003B244F" w:rsidRPr="007D68CD" w:rsidRDefault="003B244F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 xml:space="preserve">NOMOR </w:t>
      </w:r>
      <w:r w:rsidR="00543AD6">
        <w:rPr>
          <w:rFonts w:ascii="Bookman Old Style" w:hAnsi="Bookman Old Style"/>
          <w:sz w:val="24"/>
          <w:szCs w:val="24"/>
        </w:rPr>
        <w:t>…………….</w:t>
      </w:r>
    </w:p>
    <w:p w14:paraId="7E428299" w14:textId="77777777" w:rsidR="00F2348C" w:rsidRPr="007D68CD" w:rsidRDefault="00F2348C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58993053" w14:textId="77777777" w:rsidR="003B244F" w:rsidRPr="007D68CD" w:rsidRDefault="003B244F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>TENTANG</w:t>
      </w:r>
    </w:p>
    <w:p w14:paraId="07DFCD07" w14:textId="77777777" w:rsidR="00F2348C" w:rsidRPr="007D68CD" w:rsidRDefault="00F2348C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2FC93619" w14:textId="734F126E" w:rsidR="007A3BED" w:rsidRPr="007D68CD" w:rsidRDefault="003B244F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 xml:space="preserve">PENETAPAN INVENTARISASI BERTAHAP BARANG MILIK DAERAH </w:t>
      </w:r>
    </w:p>
    <w:p w14:paraId="552D2B88" w14:textId="187A63F1" w:rsidR="003B244F" w:rsidRPr="007D68CD" w:rsidRDefault="00185D0E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>DI</w:t>
      </w:r>
      <w:r w:rsidR="00BA02B9">
        <w:rPr>
          <w:rFonts w:ascii="Bookman Old Style" w:hAnsi="Bookman Old Style"/>
          <w:sz w:val="24"/>
          <w:szCs w:val="24"/>
        </w:rPr>
        <w:t xml:space="preserve"> </w:t>
      </w:r>
      <w:r w:rsidRPr="007D68CD">
        <w:rPr>
          <w:rFonts w:ascii="Bookman Old Style" w:hAnsi="Bookman Old Style"/>
          <w:sz w:val="24"/>
          <w:szCs w:val="24"/>
        </w:rPr>
        <w:t xml:space="preserve">LINGKUNGAN PEMERINTAH PROVINSI BANTEN </w:t>
      </w:r>
      <w:r w:rsidR="003B244F" w:rsidRPr="007D68CD">
        <w:rPr>
          <w:rFonts w:ascii="Bookman Old Style" w:hAnsi="Bookman Old Style"/>
          <w:sz w:val="24"/>
          <w:szCs w:val="24"/>
        </w:rPr>
        <w:t xml:space="preserve">TAHUN </w:t>
      </w:r>
      <w:r w:rsidR="00543AD6">
        <w:rPr>
          <w:rFonts w:ascii="Bookman Old Style" w:hAnsi="Bookman Old Style"/>
          <w:sz w:val="24"/>
          <w:szCs w:val="24"/>
        </w:rPr>
        <w:t>……….</w:t>
      </w:r>
    </w:p>
    <w:p w14:paraId="40EBE110" w14:textId="77777777" w:rsidR="00492CDC" w:rsidRPr="007D68CD" w:rsidRDefault="00492CDC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p w14:paraId="5F573948" w14:textId="77777777" w:rsidR="003B244F" w:rsidRPr="007D68CD" w:rsidRDefault="003B244F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  <w:r w:rsidRPr="007D68CD">
        <w:rPr>
          <w:rFonts w:ascii="Bookman Old Style" w:hAnsi="Bookman Old Style"/>
          <w:sz w:val="24"/>
          <w:szCs w:val="24"/>
        </w:rPr>
        <w:t xml:space="preserve">GUBERNUR </w:t>
      </w:r>
      <w:r w:rsidR="00A96896" w:rsidRPr="007D68CD">
        <w:rPr>
          <w:rFonts w:ascii="Bookman Old Style" w:hAnsi="Bookman Old Style"/>
          <w:sz w:val="24"/>
          <w:szCs w:val="24"/>
        </w:rPr>
        <w:t>BANTEN</w:t>
      </w:r>
      <w:r w:rsidRPr="007D68CD">
        <w:rPr>
          <w:rFonts w:ascii="Bookman Old Style" w:hAnsi="Bookman Old Style"/>
          <w:sz w:val="24"/>
          <w:szCs w:val="24"/>
        </w:rPr>
        <w:t>,</w:t>
      </w:r>
    </w:p>
    <w:p w14:paraId="303D63B6" w14:textId="77777777" w:rsidR="00F2348C" w:rsidRPr="007D68CD" w:rsidRDefault="00F2348C" w:rsidP="007D68CD">
      <w:pPr>
        <w:spacing w:after="120" w:line="320" w:lineRule="exact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93"/>
        <w:gridCol w:w="2717"/>
        <w:gridCol w:w="3934"/>
        <w:gridCol w:w="270"/>
      </w:tblGrid>
      <w:tr w:rsidR="00A51A52" w:rsidRPr="007D68CD" w14:paraId="6C70DDB8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3E270DD1" w14:textId="77777777" w:rsidR="00A51A52" w:rsidRPr="007D68CD" w:rsidRDefault="00A51A52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7B49D673" w14:textId="77777777" w:rsidR="00A51A52" w:rsidRPr="007D68CD" w:rsidRDefault="00A51A52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21BA66AA" w14:textId="77777777" w:rsidR="00543AD6" w:rsidRDefault="00A51A52" w:rsidP="007D68CD">
            <w:pPr>
              <w:spacing w:after="120" w:line="320" w:lineRule="exact"/>
              <w:ind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44057" w:rsidRPr="007D68CD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="00F44057" w:rsidRPr="007D68CD">
              <w:rPr>
                <w:rFonts w:ascii="Bookman Old Style" w:hAnsi="Bookman Old Style"/>
                <w:sz w:val="24"/>
                <w:szCs w:val="24"/>
              </w:rPr>
              <w:t xml:space="preserve"> Pasal 49 </w:t>
            </w:r>
            <w:proofErr w:type="spellStart"/>
            <w:r w:rsidR="00F44057" w:rsidRPr="007D68CD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="00F44057" w:rsidRPr="007D68CD">
              <w:rPr>
                <w:rFonts w:ascii="Bookman Old Style" w:hAnsi="Bookman Old Style"/>
                <w:sz w:val="24"/>
                <w:szCs w:val="24"/>
              </w:rPr>
              <w:t xml:space="preserve"> (3)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47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Pembukuan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Inventarisasi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Pelaporan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Barang Milik Daerah,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Gubernur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Inventarisasi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Bertahap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Barang Milik Daerah </w:t>
            </w:r>
            <w:r w:rsidR="005C6DF3" w:rsidRPr="005C6DF3">
              <w:rPr>
                <w:rFonts w:ascii="Bookman Old Style" w:hAnsi="Bookman Old Style"/>
                <w:sz w:val="24"/>
                <w:szCs w:val="24"/>
              </w:rPr>
              <w:t>di</w:t>
            </w:r>
            <w:r w:rsidR="005C6DF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 xml:space="preserve"> Banten </w:t>
            </w:r>
            <w:proofErr w:type="spellStart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="005C6DF3" w:rsidRPr="005C6DF3">
              <w:rPr>
                <w:rFonts w:ascii="Bookman Old Style" w:hAnsi="Bookman Old Style"/>
                <w:sz w:val="24"/>
                <w:szCs w:val="24"/>
              </w:rPr>
              <w:t xml:space="preserve"> 2024-2027</w:t>
            </w:r>
            <w:r w:rsidRPr="007D68CD">
              <w:rPr>
                <w:rFonts w:ascii="Bookman Old Style" w:hAnsi="Bookman Old Style"/>
                <w:sz w:val="24"/>
                <w:szCs w:val="24"/>
              </w:rPr>
              <w:t>;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sesuaikan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dengan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tujuan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secara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luas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) ……. (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pertimbangan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</w:t>
            </w:r>
            <w:proofErr w:type="spellStart"/>
            <w:proofErr w:type="gram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folosofis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)…</w:t>
            </w:r>
            <w:proofErr w:type="gramEnd"/>
            <w:r w:rsidR="00543AD6"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;</w:t>
            </w:r>
          </w:p>
          <w:p w14:paraId="3BB4C733" w14:textId="77777777" w:rsidR="00543AD6" w:rsidRPr="00543AD6" w:rsidRDefault="00543AD6" w:rsidP="00543AD6">
            <w:pPr>
              <w:tabs>
                <w:tab w:val="left" w:pos="1800"/>
                <w:tab w:val="left" w:pos="2700"/>
              </w:tabs>
              <w:spacing w:after="120" w:line="320" w:lineRule="exact"/>
              <w:jc w:val="both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bookmarkStart w:id="0" w:name="_Hlk200718073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BILA KEPGUB GUGUS TUGAS BUKAN MERUPAKAN DELEGASI AMANAT LANGSUNG DARI SUATU PASAL </w:t>
            </w:r>
            <w:proofErr w:type="gramStart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PERATURAN  PERUNDANG</w:t>
            </w:r>
            <w:proofErr w:type="gramEnd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-UNDANGAN BISA MENCANTUMKAN POINT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huruf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 xml:space="preserve"> a, b, c. JIKA ADA CUKUP 1(SATU) MENIMBANG SAJA</w:t>
            </w:r>
            <w:bookmarkEnd w:id="0"/>
            <w:r w:rsidRPr="00543AD6">
              <w:rPr>
                <w:rFonts w:ascii="Bookman Old Style" w:hAnsi="Bookman Old Style"/>
                <w:sz w:val="24"/>
                <w:szCs w:val="24"/>
                <w:highlight w:val="green"/>
              </w:rPr>
              <w:t>.</w:t>
            </w:r>
          </w:p>
          <w:p w14:paraId="5AB4FD93" w14:textId="05E08257" w:rsidR="00543AD6" w:rsidRPr="007D68CD" w:rsidRDefault="00543AD6" w:rsidP="007D68CD">
            <w:pPr>
              <w:spacing w:after="120" w:line="320" w:lineRule="exact"/>
              <w:ind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2348C" w:rsidRPr="007D68CD" w14:paraId="139548A3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58E54C7B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6FB3FF32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67520C4F" w14:textId="580A1BDA" w:rsidR="00F2348C" w:rsidRPr="00543AD6" w:rsidRDefault="00270EE6" w:rsidP="007D68CD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2000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Pro</w:t>
            </w:r>
            <w:r w:rsidR="005C6DF3" w:rsidRPr="00543AD6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543AD6">
              <w:rPr>
                <w:rFonts w:ascii="Bookman Old Style" w:hAnsi="Bookman Old Style"/>
                <w:sz w:val="24"/>
                <w:szCs w:val="24"/>
              </w:rPr>
              <w:t>insi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Banten (Lembar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2005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182,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4010);</w:t>
            </w:r>
          </w:p>
          <w:p w14:paraId="47D0AA25" w14:textId="359F5420" w:rsidR="00F2348C" w:rsidRPr="00543AD6" w:rsidRDefault="005C6DF3" w:rsidP="007D68CD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5587)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kali,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lastRenderedPageBreak/>
              <w:t>dengan</w:t>
            </w:r>
            <w:proofErr w:type="spellEnd"/>
            <w:r w:rsidRPr="00543AD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2023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Pengganti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Cipta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Menjadi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 Republik  Indonesia 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 2023 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 41,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 Negara  Republik  Indonesia 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6856)</w:t>
            </w:r>
            <w:r w:rsidRPr="00543AD6"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;</w:t>
            </w:r>
          </w:p>
          <w:p w14:paraId="1CA74262" w14:textId="77777777" w:rsidR="005C6DF3" w:rsidRPr="00543AD6" w:rsidRDefault="005C6DF3" w:rsidP="005C6DF3">
            <w:pPr>
              <w:pStyle w:val="ListParagraph"/>
              <w:spacing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09A9828" w14:textId="77777777" w:rsidR="00F2348C" w:rsidRPr="00543AD6" w:rsidRDefault="00F2348C" w:rsidP="007D68CD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27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Barang Milik Negara/Daerah (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92,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5533)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28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27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Barang Milik Negara/Daerah (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142,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6523);</w:t>
            </w:r>
          </w:p>
          <w:p w14:paraId="32D044E9" w14:textId="23FDB374" w:rsidR="00F2348C" w:rsidRPr="00543AD6" w:rsidRDefault="00F2348C" w:rsidP="007D68CD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F0B95" w:rsidRPr="00543AD6">
              <w:rPr>
                <w:rFonts w:ascii="Bookman Old Style" w:hAnsi="Bookman Old Style"/>
                <w:sz w:val="24"/>
                <w:szCs w:val="24"/>
              </w:rPr>
              <w:t>108</w:t>
            </w:r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F0B95" w:rsidRPr="00543AD6">
              <w:rPr>
                <w:rFonts w:ascii="Bookman Old Style" w:hAnsi="Bookman Old Style"/>
                <w:sz w:val="24"/>
                <w:szCs w:val="24"/>
              </w:rPr>
              <w:t>Penggolongan</w:t>
            </w:r>
            <w:proofErr w:type="spellEnd"/>
            <w:r w:rsidR="008F0B95" w:rsidRPr="00543AD6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5C6DF3" w:rsidRPr="00543AD6">
              <w:rPr>
                <w:rFonts w:ascii="Bookman Old Style" w:hAnsi="Bookman Old Style"/>
                <w:sz w:val="24"/>
                <w:szCs w:val="24"/>
              </w:rPr>
              <w:t>Kodefikasi</w:t>
            </w:r>
            <w:proofErr w:type="spellEnd"/>
            <w:r w:rsidR="005C6DF3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Barang Milik Daerah (Berita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A04D3" w:rsidRPr="00543AD6">
              <w:rPr>
                <w:rFonts w:ascii="Bookman Old Style" w:hAnsi="Bookman Old Style"/>
                <w:sz w:val="24"/>
                <w:szCs w:val="24"/>
              </w:rPr>
              <w:t>2083</w:t>
            </w:r>
            <w:r w:rsidRPr="00543AD6">
              <w:rPr>
                <w:rFonts w:ascii="Bookman Old Style" w:hAnsi="Bookman Old Style"/>
                <w:sz w:val="24"/>
                <w:szCs w:val="24"/>
              </w:rPr>
              <w:t>);</w:t>
            </w:r>
          </w:p>
          <w:p w14:paraId="2A99F9E3" w14:textId="25576AFE" w:rsidR="00AF62CF" w:rsidRPr="00543AD6" w:rsidRDefault="00AF62CF" w:rsidP="00AF62CF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19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Barang Milik Daerah (Berita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2016</w:t>
            </w:r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547) </w:t>
            </w:r>
            <w:proofErr w:type="spellStart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="00E51995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7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2024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19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Barang Milik Daerah (Berita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2024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350);</w:t>
            </w:r>
          </w:p>
          <w:p w14:paraId="51002782" w14:textId="77777777" w:rsidR="008F0B95" w:rsidRPr="00543AD6" w:rsidRDefault="00F2348C" w:rsidP="00AF62CF">
            <w:pPr>
              <w:pStyle w:val="ListParagraph"/>
              <w:numPr>
                <w:ilvl w:val="0"/>
                <w:numId w:val="1"/>
              </w:numPr>
              <w:spacing w:after="120" w:line="320" w:lineRule="exact"/>
              <w:ind w:left="337" w:right="-15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47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Pembukuan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Inventarisasi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Pelaporan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Barang Milik Daerah (Berita Negara Republik Indonesia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1076);</w:t>
            </w:r>
          </w:p>
          <w:p w14:paraId="132449B3" w14:textId="77777777" w:rsidR="00543AD6" w:rsidRPr="00543AD6" w:rsidRDefault="00543AD6" w:rsidP="00543AD6">
            <w:pPr>
              <w:spacing w:after="120" w:line="340" w:lineRule="exact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bookmarkStart w:id="1" w:name="_Hlk200718103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>BISA DITAMBAHKAN PERATURAN YANG MENDELEGASIKAN/MENGAMANATKAN SECARA LANGSUNG ATAU TIDAK LANGSUNG</w:t>
            </w:r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 xml:space="preserve">TERHADAP PENETAPAN </w:t>
            </w:r>
            <w:proofErr w:type="gramStart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 xml:space="preserve">KEPUTUSAN  </w:t>
            </w:r>
            <w:proofErr w:type="spellStart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>tersebut</w:t>
            </w:r>
            <w:proofErr w:type="spellEnd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>..</w:t>
            </w:r>
            <w:proofErr w:type="gramEnd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</w:rPr>
              <w:t xml:space="preserve">, </w:t>
            </w:r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green"/>
              </w:rPr>
              <w:t xml:space="preserve">(TIDAK PERLU TERLALU </w:t>
            </w:r>
            <w:proofErr w:type="gramStart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green"/>
              </w:rPr>
              <w:t>BANYAK)…</w:t>
            </w:r>
            <w:proofErr w:type="gramEnd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green"/>
              </w:rPr>
              <w:t>…</w:t>
            </w:r>
            <w:proofErr w:type="gramStart"/>
            <w:r w:rsidRPr="00543AD6">
              <w:rPr>
                <w:rFonts w:ascii="Bookman Old Style" w:hAnsi="Bookman Old Style" w:cs="Arial"/>
                <w:color w:val="000000"/>
                <w:sz w:val="24"/>
                <w:szCs w:val="24"/>
                <w:highlight w:val="green"/>
              </w:rPr>
              <w:t>…..</w:t>
            </w:r>
            <w:proofErr w:type="gramEnd"/>
          </w:p>
          <w:bookmarkEnd w:id="1"/>
          <w:p w14:paraId="16E2BDBA" w14:textId="7058A0F8" w:rsidR="00543AD6" w:rsidRPr="00543AD6" w:rsidRDefault="00543AD6" w:rsidP="00543AD6">
            <w:pPr>
              <w:spacing w:after="120" w:line="320" w:lineRule="exact"/>
              <w:ind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25413" w:rsidRPr="007D68CD" w14:paraId="3B58FCB8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129AC27F" w14:textId="6BC043A5" w:rsidR="00B25413" w:rsidRPr="007D68CD" w:rsidRDefault="00B25413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Memperhatikan</w:t>
            </w:r>
            <w:proofErr w:type="spellEnd"/>
          </w:p>
        </w:tc>
        <w:tc>
          <w:tcPr>
            <w:tcW w:w="293" w:type="dxa"/>
          </w:tcPr>
          <w:p w14:paraId="56242CFF" w14:textId="49F00BAC" w:rsidR="00B25413" w:rsidRPr="007D68CD" w:rsidRDefault="00B25413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684AF41A" w14:textId="77777777" w:rsidR="00B25413" w:rsidRDefault="00B25413" w:rsidP="00B25413">
            <w:pPr>
              <w:spacing w:after="120" w:line="320" w:lineRule="exact"/>
              <w:ind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Nota 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Aset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Banten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>…………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>…………….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Penyampaian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Rumusan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Kebijakan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Berupa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Gubernur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Inventarisasi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Bertahap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Barang Milik Daerah pada Kuasa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Barang,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Barang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Pengelola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Barang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>……….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35C23FC" w14:textId="77777777" w:rsidR="00543AD6" w:rsidRPr="00543AD6" w:rsidRDefault="00543AD6" w:rsidP="00543AD6">
            <w:pPr>
              <w:tabs>
                <w:tab w:val="left" w:pos="2340"/>
              </w:tabs>
              <w:spacing w:after="120" w:line="340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  <w:bookmarkStart w:id="2" w:name="_Hlk200718201"/>
            <w:r w:rsidRPr="00543AD6">
              <w:rPr>
                <w:rFonts w:ascii="Bookman Old Style" w:hAnsi="Bookman Old Style"/>
                <w:sz w:val="24"/>
                <w:szCs w:val="24"/>
                <w:highlight w:val="yellow"/>
                <w:lang w:val="sv-SE"/>
              </w:rPr>
              <w:t>Dalam Memperhatikan ... bisa ditambahkan SURAT ATAU DOKUMEN YANG MENJADI DASAR PENETAPAN KEPGUB.......;</w:t>
            </w:r>
            <w:bookmarkEnd w:id="2"/>
          </w:p>
          <w:p w14:paraId="44DF0894" w14:textId="571188BF" w:rsidR="00543AD6" w:rsidRPr="00B25413" w:rsidRDefault="00543AD6" w:rsidP="00B25413">
            <w:pPr>
              <w:spacing w:after="120" w:line="320" w:lineRule="exact"/>
              <w:ind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F62CF" w:rsidRPr="007D68CD" w14:paraId="7AB555E0" w14:textId="77777777" w:rsidTr="0041457D">
        <w:trPr>
          <w:gridAfter w:val="1"/>
          <w:wAfter w:w="270" w:type="dxa"/>
          <w:trHeight w:val="533"/>
        </w:trPr>
        <w:tc>
          <w:tcPr>
            <w:tcW w:w="9018" w:type="dxa"/>
            <w:gridSpan w:val="4"/>
            <w:vAlign w:val="center"/>
          </w:tcPr>
          <w:p w14:paraId="36FF498C" w14:textId="77777777" w:rsidR="00AF62CF" w:rsidRPr="007D68CD" w:rsidRDefault="00AF62CF" w:rsidP="00AF62CF">
            <w:pPr>
              <w:spacing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MEMUTUSKAN</w:t>
            </w:r>
          </w:p>
        </w:tc>
      </w:tr>
      <w:tr w:rsidR="00F2348C" w:rsidRPr="007D68CD" w14:paraId="3A4595EB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1423B9A1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399510E8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3FE7CA38" w14:textId="77777777" w:rsidR="00F2348C" w:rsidRPr="007D68CD" w:rsidRDefault="00F2348C" w:rsidP="00E51995">
            <w:pPr>
              <w:spacing w:after="120" w:line="320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2348C" w:rsidRPr="007D68CD" w14:paraId="531CF5B5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1A952E77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682459C1" w14:textId="77777777" w:rsidR="00F2348C" w:rsidRPr="007D68CD" w:rsidRDefault="00F2348C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559428BD" w14:textId="6D96F4F9" w:rsidR="00F2348C" w:rsidRPr="00543AD6" w:rsidRDefault="00F2348C" w:rsidP="007D68CD">
            <w:pPr>
              <w:spacing w:after="120" w:line="320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Inventarisasi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Bertahap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Barang Milik Daerah di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Banten </w:t>
            </w:r>
            <w:proofErr w:type="spellStart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 w:rsidRPr="00543AD6">
              <w:rPr>
                <w:rFonts w:ascii="Bookman Old Style" w:hAnsi="Bookman Old Style"/>
                <w:sz w:val="24"/>
                <w:szCs w:val="24"/>
              </w:rPr>
              <w:t>………</w:t>
            </w:r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 w:rsidRPr="00543AD6">
              <w:rPr>
                <w:rFonts w:ascii="Bookman Old Style" w:hAnsi="Bookman Old Style"/>
                <w:sz w:val="24"/>
                <w:szCs w:val="24"/>
              </w:rPr>
              <w:t>:</w:t>
            </w:r>
            <w:r w:rsidR="00886DA7" w:rsidRP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1ABF657" w14:textId="35CB323A" w:rsidR="00F2348C" w:rsidRPr="00543AD6" w:rsidRDefault="00886DA7" w:rsidP="007D68CD">
            <w:pPr>
              <w:pStyle w:val="ListParagraph"/>
              <w:numPr>
                <w:ilvl w:val="0"/>
                <w:numId w:val="2"/>
              </w:numPr>
              <w:spacing w:after="120" w:line="320" w:lineRule="exact"/>
              <w:ind w:left="379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tahap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I Barang Milik Daerah </w:t>
            </w:r>
            <w:proofErr w:type="spellStart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berupa</w:t>
            </w:r>
            <w:proofErr w:type="spellEnd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Peralatan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mesin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ntrakom</w:t>
            </w:r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tabel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)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dan </w:t>
            </w:r>
            <w:proofErr w:type="spellStart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aset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tidak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berwujud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sampai</w:t>
            </w:r>
            <w:proofErr w:type="spellEnd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dengan</w:t>
            </w:r>
            <w:proofErr w:type="spellEnd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hasil</w:t>
            </w:r>
            <w:proofErr w:type="spellEnd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audit </w:t>
            </w:r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Badan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Pemeriksa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Keuangan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Republik Indonesia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2023 </w:t>
            </w:r>
            <w:proofErr w:type="spellStart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dilakukan</w:t>
            </w:r>
            <w:proofErr w:type="spellEnd"/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pada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5863B6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2024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;</w:t>
            </w:r>
          </w:p>
          <w:p w14:paraId="3D1607AD" w14:textId="3423D29C" w:rsidR="00F2348C" w:rsidRPr="00543AD6" w:rsidRDefault="00886DA7" w:rsidP="007D68CD">
            <w:pPr>
              <w:pStyle w:val="ListParagraph"/>
              <w:numPr>
                <w:ilvl w:val="0"/>
                <w:numId w:val="2"/>
              </w:numPr>
              <w:spacing w:after="120" w:line="320" w:lineRule="exact"/>
              <w:ind w:left="379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tahap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II Barang Milik Daerah </w:t>
            </w:r>
            <w:proofErr w:type="spellStart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berupa</w:t>
            </w:r>
            <w:proofErr w:type="spellEnd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Peralatan</w:t>
            </w:r>
            <w:proofErr w:type="spellEnd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Mesin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E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ktrako</w:t>
            </w:r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mp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tabel</w:t>
            </w:r>
            <w:proofErr w:type="spellEnd"/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)</w:t>
            </w:r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B7BC9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dan Tanah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sampai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dengan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hasil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audit </w:t>
            </w:r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Badan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Pemeriksa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Keuangan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Republik Indonesia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2024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dilakukan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pada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202</w:t>
            </w:r>
            <w:r w:rsidR="00FA56BE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5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;</w:t>
            </w:r>
          </w:p>
          <w:p w14:paraId="113147CD" w14:textId="0B922F07" w:rsidR="00F2348C" w:rsidRPr="00543AD6" w:rsidRDefault="00886DA7" w:rsidP="007D68CD">
            <w:pPr>
              <w:pStyle w:val="ListParagraph"/>
              <w:numPr>
                <w:ilvl w:val="0"/>
                <w:numId w:val="2"/>
              </w:numPr>
              <w:spacing w:after="120" w:line="320" w:lineRule="exact"/>
              <w:ind w:left="379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tahap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III Barang Milik Daerah </w:t>
            </w:r>
            <w:proofErr w:type="spellStart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berupa</w:t>
            </w:r>
            <w:proofErr w:type="spellEnd"/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9A78A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Gedung dan </w:t>
            </w:r>
            <w:proofErr w:type="spellStart"/>
            <w:r w:rsidR="009A78A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Bangunan</w:t>
            </w:r>
            <w:proofErr w:type="spellEnd"/>
            <w:r w:rsidR="009A78A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dan Jalan, </w:t>
            </w:r>
            <w:proofErr w:type="spellStart"/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Irigasi</w:t>
            </w:r>
            <w:proofErr w:type="spellEnd"/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Jaringan</w:t>
            </w:r>
            <w:proofErr w:type="spellEnd"/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sampai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dengan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hasil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audit </w:t>
            </w:r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Badan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Pemeriksa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Keuangan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Republik Indonesia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2025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dilakukan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pada </w:t>
            </w: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2026</w:t>
            </w:r>
            <w:r w:rsidR="00F2348C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;</w:t>
            </w:r>
            <w:r w:rsidR="006E02C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dan</w:t>
            </w:r>
          </w:p>
          <w:p w14:paraId="48507ECA" w14:textId="5F7893F3" w:rsidR="00A038E7" w:rsidRPr="00543AD6" w:rsidRDefault="00FF12FB" w:rsidP="00886DA7">
            <w:pPr>
              <w:pStyle w:val="ListParagraph"/>
              <w:numPr>
                <w:ilvl w:val="0"/>
                <w:numId w:val="2"/>
              </w:numPr>
              <w:spacing w:after="120" w:line="320" w:lineRule="exact"/>
              <w:ind w:left="379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proofErr w:type="spellStart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tahap</w:t>
            </w:r>
            <w:proofErr w:type="spellEnd"/>
            <w:r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F97298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I</w:t>
            </w:r>
            <w:r w:rsidR="00A038E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V Barang Milik Daerah </w:t>
            </w:r>
            <w:proofErr w:type="spellStart"/>
            <w:r w:rsidR="00A038E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berupa</w:t>
            </w:r>
            <w:proofErr w:type="spellEnd"/>
            <w:r w:rsidR="00A038E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Aset Tetap </w:t>
            </w:r>
            <w:proofErr w:type="spellStart"/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Lainnya</w:t>
            </w:r>
            <w:proofErr w:type="spellEnd"/>
            <w:r w:rsidR="008C257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sampai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dengan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hasil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audit </w:t>
            </w:r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Badan </w:t>
            </w:r>
            <w:proofErr w:type="spellStart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Pemeriksa</w:t>
            </w:r>
            <w:proofErr w:type="spellEnd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Keuangan</w:t>
            </w:r>
            <w:proofErr w:type="spellEnd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Republik Indonesia </w:t>
            </w:r>
            <w:proofErr w:type="spellStart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2026 </w:t>
            </w:r>
            <w:proofErr w:type="spellStart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dilakukan</w:t>
            </w:r>
            <w:proofErr w:type="spellEnd"/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pada </w:t>
            </w:r>
            <w:proofErr w:type="spellStart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Tahun</w:t>
            </w:r>
            <w:proofErr w:type="spellEnd"/>
            <w:r w:rsidR="00886DA7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4D2D32" w:rsidRPr="00543AD6">
              <w:rPr>
                <w:rFonts w:ascii="Bookman Old Style" w:hAnsi="Bookman Old Style"/>
                <w:color w:val="000000" w:themeColor="text1"/>
                <w:sz w:val="24"/>
                <w:szCs w:val="24"/>
                <w:highlight w:val="yellow"/>
              </w:rPr>
              <w:t>2027</w:t>
            </w:r>
            <w:r w:rsidR="00A038E7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.</w:t>
            </w:r>
          </w:p>
        </w:tc>
      </w:tr>
      <w:tr w:rsidR="00FF12FB" w:rsidRPr="007D68CD" w14:paraId="05118645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190AF0EE" w14:textId="77777777" w:rsidR="00FF12FB" w:rsidRPr="007D68CD" w:rsidRDefault="00FF12FB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293" w:type="dxa"/>
          </w:tcPr>
          <w:p w14:paraId="53C99B93" w14:textId="77777777" w:rsidR="00FF12FB" w:rsidRPr="007D68CD" w:rsidRDefault="00FF12FB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68FE7669" w14:textId="1A932F1B" w:rsidR="00FF12FB" w:rsidRPr="007D68CD" w:rsidRDefault="00C52B00" w:rsidP="00FF12FB">
            <w:pPr>
              <w:spacing w:after="120" w:line="320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52B00">
              <w:rPr>
                <w:rFonts w:ascii="Bookman Old Style" w:hAnsi="Bookman Old Style"/>
                <w:sz w:val="24"/>
                <w:szCs w:val="24"/>
                <w:lang w:val="sv-SE"/>
              </w:rPr>
              <w:t>Biaya yang timbul akibat ditetapkannya Keputusan ini, dibebankan pada Anggaran Pendapatan dan Belanja Daerah Provinsi</w:t>
            </w:r>
            <w:r w:rsidR="00FF12FB" w:rsidRPr="007D68CD">
              <w:rPr>
                <w:rFonts w:ascii="Bookman Old Style" w:hAnsi="Bookman Old Style"/>
                <w:sz w:val="24"/>
                <w:szCs w:val="24"/>
              </w:rPr>
              <w:t>.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(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bila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ada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biaya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dikeluarkan</w:t>
            </w:r>
            <w:proofErr w:type="spellEnd"/>
            <w:r w:rsidR="00543AD6" w:rsidRPr="00543AD6">
              <w:rPr>
                <w:rFonts w:ascii="Bookman Old Style" w:hAnsi="Bookman Old Style"/>
                <w:sz w:val="24"/>
                <w:szCs w:val="24"/>
                <w:highlight w:val="yellow"/>
              </w:rPr>
              <w:t>)</w:t>
            </w:r>
          </w:p>
        </w:tc>
      </w:tr>
      <w:tr w:rsidR="00FF12FB" w:rsidRPr="007D68CD" w14:paraId="32712A79" w14:textId="77777777" w:rsidTr="0041457D">
        <w:trPr>
          <w:gridAfter w:val="1"/>
          <w:wAfter w:w="270" w:type="dxa"/>
        </w:trPr>
        <w:tc>
          <w:tcPr>
            <w:tcW w:w="2074" w:type="dxa"/>
          </w:tcPr>
          <w:p w14:paraId="0C58BCAB" w14:textId="77777777" w:rsidR="00FF12FB" w:rsidRPr="007D68CD" w:rsidRDefault="00FF12FB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293" w:type="dxa"/>
          </w:tcPr>
          <w:p w14:paraId="434A970E" w14:textId="77777777" w:rsidR="00FF12FB" w:rsidRPr="007D68CD" w:rsidRDefault="00FF12FB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651" w:type="dxa"/>
            <w:gridSpan w:val="2"/>
          </w:tcPr>
          <w:p w14:paraId="490006B3" w14:textId="77777777" w:rsidR="00FF12FB" w:rsidRDefault="00FF12FB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Gubernur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mulai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380BA978" w14:textId="1B9CFC95" w:rsidR="00C52B00" w:rsidRPr="007D68CD" w:rsidRDefault="00C52B00" w:rsidP="00FF12FB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7414" w:rsidRPr="007D68CD" w14:paraId="5413E10E" w14:textId="77777777" w:rsidTr="0041457D">
        <w:trPr>
          <w:gridBefore w:val="3"/>
          <w:wBefore w:w="5084" w:type="dxa"/>
        </w:trPr>
        <w:tc>
          <w:tcPr>
            <w:tcW w:w="4204" w:type="dxa"/>
            <w:gridSpan w:val="2"/>
          </w:tcPr>
          <w:p w14:paraId="78B758E3" w14:textId="77777777" w:rsidR="00327414" w:rsidRPr="007D68CD" w:rsidRDefault="00327414" w:rsidP="007D68CD">
            <w:pPr>
              <w:spacing w:after="120" w:line="320" w:lineRule="exac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lastRenderedPageBreak/>
              <w:t>Ditetapkan</w:t>
            </w:r>
            <w:proofErr w:type="spellEnd"/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7D68CD">
              <w:rPr>
                <w:rFonts w:ascii="Bookman Old Style" w:hAnsi="Bookman Old Style"/>
                <w:sz w:val="24"/>
                <w:szCs w:val="24"/>
              </w:rPr>
              <w:t>Serang</w:t>
            </w:r>
            <w:proofErr w:type="spellEnd"/>
          </w:p>
          <w:p w14:paraId="2CD9F95F" w14:textId="50C131FA" w:rsidR="00327414" w:rsidRPr="007D68CD" w:rsidRDefault="00886DA7" w:rsidP="0041457D">
            <w:pPr>
              <w:spacing w:after="120" w:line="320" w:lineRule="exact"/>
              <w:ind w:right="-915"/>
              <w:rPr>
                <w:rFonts w:ascii="Bookman Old Style" w:hAnsi="Bookman Old Style"/>
                <w:sz w:val="24"/>
                <w:szCs w:val="24"/>
              </w:rPr>
            </w:pPr>
            <w:r w:rsidRPr="007D68CD">
              <w:rPr>
                <w:rFonts w:ascii="Bookman Old Style" w:hAnsi="Bookman Old Style"/>
                <w:sz w:val="24"/>
                <w:szCs w:val="24"/>
              </w:rPr>
              <w:t xml:space="preserve">pada </w:t>
            </w:r>
            <w:proofErr w:type="spellStart"/>
            <w:r w:rsidR="00327414" w:rsidRPr="007D68CD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="00327414" w:rsidRPr="007D68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43AD6">
              <w:rPr>
                <w:rFonts w:ascii="Bookman Old Style" w:hAnsi="Bookman Old Style"/>
                <w:sz w:val="24"/>
                <w:szCs w:val="24"/>
              </w:rPr>
              <w:t>……</w:t>
            </w:r>
            <w:proofErr w:type="gramStart"/>
            <w:r w:rsidR="00543AD6"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</w:p>
          <w:p w14:paraId="4140838F" w14:textId="3327CE05" w:rsidR="00327414" w:rsidRDefault="00543AD6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n.</w:t>
            </w:r>
            <w:r w:rsidR="00327414" w:rsidRPr="007D68CD">
              <w:rPr>
                <w:rFonts w:ascii="Bookman Old Style" w:hAnsi="Bookman Old Style"/>
                <w:sz w:val="24"/>
                <w:szCs w:val="24"/>
              </w:rPr>
              <w:t>GUBERNUR</w:t>
            </w:r>
            <w:proofErr w:type="spellEnd"/>
            <w:proofErr w:type="gramEnd"/>
            <w:r w:rsidR="00327414" w:rsidRPr="007D68CD">
              <w:rPr>
                <w:rFonts w:ascii="Bookman Old Style" w:hAnsi="Bookman Old Style"/>
                <w:sz w:val="24"/>
                <w:szCs w:val="24"/>
              </w:rPr>
              <w:t xml:space="preserve"> BANTEN</w:t>
            </w:r>
          </w:p>
          <w:p w14:paraId="33CFC9F2" w14:textId="705A7734" w:rsidR="00543AD6" w:rsidRPr="007D68CD" w:rsidRDefault="00543AD6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SEKRETARIS DAERAH,</w:t>
            </w:r>
          </w:p>
          <w:p w14:paraId="6303DAD1" w14:textId="77777777" w:rsidR="00327414" w:rsidRPr="007D68CD" w:rsidRDefault="00327414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5EE63E9" w14:textId="708B82DA" w:rsidR="00327414" w:rsidRPr="007D68CD" w:rsidRDefault="00327414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57BAF45" w14:textId="77777777" w:rsidR="00327414" w:rsidRPr="007D68CD" w:rsidRDefault="00327414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4FFCACD" w14:textId="2BA06466" w:rsidR="00327414" w:rsidRPr="007D68CD" w:rsidRDefault="00543AD6" w:rsidP="007D68CD">
            <w:pPr>
              <w:spacing w:after="120" w:line="320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……………….</w:t>
            </w:r>
          </w:p>
        </w:tc>
      </w:tr>
    </w:tbl>
    <w:p w14:paraId="19ADB3F9" w14:textId="633E9844" w:rsidR="003B244F" w:rsidRPr="007D68CD" w:rsidRDefault="002F5046" w:rsidP="00C52B00">
      <w:pPr>
        <w:spacing w:before="240" w:after="120" w:line="320" w:lineRule="exact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7D68CD">
        <w:rPr>
          <w:rFonts w:ascii="Bookman Old Style" w:hAnsi="Bookman Old Style"/>
          <w:sz w:val="24"/>
          <w:szCs w:val="24"/>
        </w:rPr>
        <w:t>Tembusan</w:t>
      </w:r>
      <w:proofErr w:type="spellEnd"/>
      <w:r w:rsidRPr="007D68CD">
        <w:rPr>
          <w:rFonts w:ascii="Bookman Old Style" w:hAnsi="Bookman Old Style"/>
          <w:sz w:val="24"/>
          <w:szCs w:val="24"/>
        </w:rPr>
        <w:t xml:space="preserve"> :</w:t>
      </w:r>
      <w:bookmarkStart w:id="3" w:name="_Hlk200718319"/>
      <w:proofErr w:type="gramEnd"/>
      <w:r w:rsidR="00543AD6" w:rsidRPr="00543AD6">
        <w:rPr>
          <w:rFonts w:ascii="Bookman Old Style" w:hAnsi="Bookman Old Style"/>
          <w:highlight w:val="green"/>
          <w:lang w:val="id-ID"/>
        </w:rPr>
        <w:t xml:space="preserve"> </w:t>
      </w:r>
      <w:r w:rsidR="00543AD6" w:rsidRPr="00543AD6">
        <w:rPr>
          <w:rFonts w:ascii="Bookman Old Style" w:hAnsi="Bookman Old Style"/>
          <w:sz w:val="24"/>
          <w:szCs w:val="24"/>
          <w:highlight w:val="green"/>
          <w:lang w:val="id-ID"/>
        </w:rPr>
        <w:t>(bila perlu)</w:t>
      </w:r>
      <w:bookmarkEnd w:id="3"/>
    </w:p>
    <w:p w14:paraId="37DE21C9" w14:textId="07BFC444" w:rsidR="002F5046" w:rsidRPr="007D68CD" w:rsidRDefault="002F5046" w:rsidP="007B75D2">
      <w:pPr>
        <w:pStyle w:val="ListParagraph"/>
        <w:numPr>
          <w:ilvl w:val="0"/>
          <w:numId w:val="29"/>
        </w:numPr>
        <w:spacing w:after="120" w:line="320" w:lineRule="exact"/>
        <w:ind w:left="360"/>
        <w:contextualSpacing w:val="0"/>
        <w:rPr>
          <w:rFonts w:ascii="Bookman Old Style" w:hAnsi="Bookman Old Style"/>
          <w:sz w:val="24"/>
          <w:szCs w:val="24"/>
        </w:rPr>
      </w:pPr>
      <w:bookmarkStart w:id="4" w:name="_Hlk180404631"/>
      <w:r w:rsidRPr="007D68CD">
        <w:rPr>
          <w:rFonts w:ascii="Bookman Old Style" w:hAnsi="Bookman Old Style"/>
          <w:sz w:val="24"/>
          <w:szCs w:val="24"/>
        </w:rPr>
        <w:t>Menteri Dalam Negeri</w:t>
      </w:r>
      <w:r w:rsidR="0022076E">
        <w:rPr>
          <w:rFonts w:ascii="Bookman Old Style" w:hAnsi="Bookman Old Style"/>
          <w:sz w:val="24"/>
          <w:szCs w:val="24"/>
        </w:rPr>
        <w:t>;</w:t>
      </w:r>
    </w:p>
    <w:p w14:paraId="5FC2FD0D" w14:textId="7D2972A8" w:rsidR="002F5046" w:rsidRPr="007D68CD" w:rsidRDefault="002F5046" w:rsidP="007B75D2">
      <w:pPr>
        <w:pStyle w:val="ListParagraph"/>
        <w:numPr>
          <w:ilvl w:val="0"/>
          <w:numId w:val="29"/>
        </w:numPr>
        <w:spacing w:after="120" w:line="320" w:lineRule="exact"/>
        <w:ind w:left="360"/>
        <w:contextualSpacing w:val="0"/>
        <w:rPr>
          <w:rFonts w:ascii="Bookman Old Style" w:hAnsi="Bookman Old Style"/>
          <w:sz w:val="24"/>
          <w:szCs w:val="24"/>
        </w:rPr>
      </w:pPr>
      <w:proofErr w:type="spellStart"/>
      <w:r w:rsidRPr="007D68CD">
        <w:rPr>
          <w:rFonts w:ascii="Bookman Old Style" w:hAnsi="Bookman Old Style"/>
          <w:sz w:val="24"/>
          <w:szCs w:val="24"/>
        </w:rPr>
        <w:t>Kepala</w:t>
      </w:r>
      <w:proofErr w:type="spellEnd"/>
      <w:r w:rsidRPr="007D68C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D68CD">
        <w:rPr>
          <w:rFonts w:ascii="Bookman Old Style" w:hAnsi="Bookman Old Style"/>
          <w:sz w:val="24"/>
          <w:szCs w:val="24"/>
        </w:rPr>
        <w:t>Perwakilan</w:t>
      </w:r>
      <w:proofErr w:type="spellEnd"/>
      <w:r w:rsidRPr="007D68CD">
        <w:rPr>
          <w:rFonts w:ascii="Bookman Old Style" w:hAnsi="Bookman Old Style"/>
          <w:sz w:val="24"/>
          <w:szCs w:val="24"/>
        </w:rPr>
        <w:t xml:space="preserve"> </w:t>
      </w:r>
      <w:r w:rsidR="00886DA7">
        <w:rPr>
          <w:rFonts w:ascii="Bookman Old Style" w:hAnsi="Bookman Old Style"/>
          <w:color w:val="000000" w:themeColor="text1"/>
          <w:sz w:val="24"/>
          <w:szCs w:val="24"/>
        </w:rPr>
        <w:t xml:space="preserve">Badan </w:t>
      </w:r>
      <w:proofErr w:type="spellStart"/>
      <w:r w:rsidR="00886DA7">
        <w:rPr>
          <w:rFonts w:ascii="Bookman Old Style" w:hAnsi="Bookman Old Style"/>
          <w:color w:val="000000" w:themeColor="text1"/>
          <w:sz w:val="24"/>
          <w:szCs w:val="24"/>
        </w:rPr>
        <w:t>Pemeriksa</w:t>
      </w:r>
      <w:proofErr w:type="spellEnd"/>
      <w:r w:rsidR="00886DA7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886DA7">
        <w:rPr>
          <w:rFonts w:ascii="Bookman Old Style" w:hAnsi="Bookman Old Style"/>
          <w:color w:val="000000" w:themeColor="text1"/>
          <w:sz w:val="24"/>
          <w:szCs w:val="24"/>
        </w:rPr>
        <w:t>Keuangan</w:t>
      </w:r>
      <w:proofErr w:type="spellEnd"/>
      <w:r w:rsidR="00886DA7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886DA7">
        <w:rPr>
          <w:rFonts w:ascii="Bookman Old Style" w:hAnsi="Bookman Old Style"/>
          <w:color w:val="000000" w:themeColor="text1"/>
          <w:sz w:val="24"/>
          <w:szCs w:val="24"/>
        </w:rPr>
        <w:t>Provinsi</w:t>
      </w:r>
      <w:proofErr w:type="spellEnd"/>
      <w:r w:rsidR="00886DA7">
        <w:rPr>
          <w:rFonts w:ascii="Bookman Old Style" w:hAnsi="Bookman Old Style"/>
          <w:color w:val="000000" w:themeColor="text1"/>
          <w:sz w:val="24"/>
          <w:szCs w:val="24"/>
        </w:rPr>
        <w:t xml:space="preserve"> Banten;</w:t>
      </w:r>
    </w:p>
    <w:p w14:paraId="5672BE2D" w14:textId="0B3ECC59" w:rsidR="00327414" w:rsidRPr="007D68CD" w:rsidRDefault="002F5046" w:rsidP="007B75D2">
      <w:pPr>
        <w:pStyle w:val="ListParagraph"/>
        <w:numPr>
          <w:ilvl w:val="0"/>
          <w:numId w:val="29"/>
        </w:numPr>
        <w:spacing w:after="120" w:line="320" w:lineRule="exact"/>
        <w:ind w:left="360"/>
        <w:contextualSpacing w:val="0"/>
        <w:rPr>
          <w:rFonts w:ascii="Bookman Old Style" w:hAnsi="Bookman Old Style"/>
          <w:sz w:val="24"/>
          <w:szCs w:val="24"/>
        </w:rPr>
      </w:pPr>
      <w:proofErr w:type="spellStart"/>
      <w:r w:rsidRPr="007D68CD">
        <w:rPr>
          <w:rFonts w:ascii="Bookman Old Style" w:hAnsi="Bookman Old Style"/>
          <w:sz w:val="24"/>
          <w:szCs w:val="24"/>
        </w:rPr>
        <w:t>Ketua</w:t>
      </w:r>
      <w:proofErr w:type="spellEnd"/>
      <w:r w:rsidRPr="007D68CD">
        <w:rPr>
          <w:rFonts w:ascii="Bookman Old Style" w:hAnsi="Bookman Old Style"/>
          <w:sz w:val="24"/>
          <w:szCs w:val="24"/>
        </w:rPr>
        <w:t xml:space="preserve"> D</w:t>
      </w:r>
      <w:r w:rsidR="00886DA7">
        <w:rPr>
          <w:rFonts w:ascii="Bookman Old Style" w:hAnsi="Bookman Old Style"/>
          <w:sz w:val="24"/>
          <w:szCs w:val="24"/>
        </w:rPr>
        <w:t xml:space="preserve">ewan </w:t>
      </w:r>
      <w:proofErr w:type="spellStart"/>
      <w:r w:rsidR="00886DA7">
        <w:rPr>
          <w:rFonts w:ascii="Bookman Old Style" w:hAnsi="Bookman Old Style"/>
          <w:sz w:val="24"/>
          <w:szCs w:val="24"/>
        </w:rPr>
        <w:t>Perwakilan</w:t>
      </w:r>
      <w:proofErr w:type="spellEnd"/>
      <w:r w:rsidR="00886DA7">
        <w:rPr>
          <w:rFonts w:ascii="Bookman Old Style" w:hAnsi="Bookman Old Style"/>
          <w:sz w:val="24"/>
          <w:szCs w:val="24"/>
        </w:rPr>
        <w:t xml:space="preserve"> Rakyat Daerah </w:t>
      </w:r>
      <w:proofErr w:type="spellStart"/>
      <w:r w:rsidR="00886DA7">
        <w:rPr>
          <w:rFonts w:ascii="Bookman Old Style" w:hAnsi="Bookman Old Style"/>
          <w:sz w:val="24"/>
          <w:szCs w:val="24"/>
        </w:rPr>
        <w:t>Provinsi</w:t>
      </w:r>
      <w:proofErr w:type="spellEnd"/>
      <w:r w:rsidR="00886DA7">
        <w:rPr>
          <w:rFonts w:ascii="Bookman Old Style" w:hAnsi="Bookman Old Style"/>
          <w:sz w:val="24"/>
          <w:szCs w:val="24"/>
        </w:rPr>
        <w:t xml:space="preserve"> Banten.</w:t>
      </w:r>
      <w:bookmarkEnd w:id="4"/>
    </w:p>
    <w:p w14:paraId="0AF6B81E" w14:textId="77777777" w:rsidR="00A038E7" w:rsidRPr="007D68CD" w:rsidRDefault="00A038E7" w:rsidP="007B75D2">
      <w:pPr>
        <w:spacing w:after="120" w:line="320" w:lineRule="exact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3601FC5D" w14:textId="77777777" w:rsidR="00A038E7" w:rsidRPr="007D68CD" w:rsidRDefault="00A038E7" w:rsidP="007D68CD">
      <w:pPr>
        <w:spacing w:after="120" w:line="320" w:lineRule="exact"/>
        <w:jc w:val="both"/>
        <w:rPr>
          <w:rFonts w:ascii="Bookman Old Style" w:hAnsi="Bookman Old Style"/>
          <w:sz w:val="24"/>
          <w:szCs w:val="24"/>
        </w:rPr>
      </w:pPr>
    </w:p>
    <w:p w14:paraId="053B4EBC" w14:textId="77777777" w:rsidR="00A038E7" w:rsidRPr="007D68CD" w:rsidRDefault="00A038E7" w:rsidP="007D68CD">
      <w:pPr>
        <w:spacing w:after="120" w:line="320" w:lineRule="exact"/>
        <w:jc w:val="both"/>
        <w:rPr>
          <w:rFonts w:ascii="Bookman Old Style" w:hAnsi="Bookman Old Style"/>
          <w:sz w:val="24"/>
          <w:szCs w:val="24"/>
        </w:rPr>
      </w:pPr>
    </w:p>
    <w:sectPr w:rsidR="00A038E7" w:rsidRPr="007D68CD" w:rsidSect="005C6DF3">
      <w:footerReference w:type="default" r:id="rId8"/>
      <w:pgSz w:w="12240" w:h="18720" w:code="14"/>
      <w:pgMar w:top="1699" w:right="1699" w:bottom="1699" w:left="1699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7EBB" w14:textId="77777777" w:rsidR="00041989" w:rsidRDefault="00041989" w:rsidP="005C6DF3">
      <w:pPr>
        <w:spacing w:after="0" w:line="240" w:lineRule="auto"/>
      </w:pPr>
      <w:r>
        <w:separator/>
      </w:r>
    </w:p>
  </w:endnote>
  <w:endnote w:type="continuationSeparator" w:id="0">
    <w:p w14:paraId="352292D0" w14:textId="77777777" w:rsidR="00041989" w:rsidRDefault="00041989" w:rsidP="005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358598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24"/>
        <w:szCs w:val="24"/>
      </w:rPr>
    </w:sdtEndPr>
    <w:sdtContent>
      <w:p w14:paraId="1039F727" w14:textId="0EF45F67" w:rsidR="005C6DF3" w:rsidRPr="005C6DF3" w:rsidRDefault="005C6DF3">
        <w:pPr>
          <w:pStyle w:val="Footer"/>
          <w:jc w:val="center"/>
          <w:rPr>
            <w:rFonts w:ascii="Bookman Old Style" w:hAnsi="Bookman Old Style"/>
            <w:sz w:val="24"/>
            <w:szCs w:val="24"/>
          </w:rPr>
        </w:pPr>
        <w:r w:rsidRPr="005C6DF3">
          <w:rPr>
            <w:rFonts w:ascii="Bookman Old Style" w:hAnsi="Bookman Old Style"/>
            <w:sz w:val="24"/>
            <w:szCs w:val="24"/>
          </w:rPr>
          <w:fldChar w:fldCharType="begin"/>
        </w:r>
        <w:r w:rsidRPr="005C6DF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5C6DF3">
          <w:rPr>
            <w:rFonts w:ascii="Bookman Old Style" w:hAnsi="Bookman Old Style"/>
            <w:sz w:val="24"/>
            <w:szCs w:val="24"/>
          </w:rPr>
          <w:fldChar w:fldCharType="separate"/>
        </w:r>
        <w:r w:rsidRPr="005C6DF3">
          <w:rPr>
            <w:rFonts w:ascii="Bookman Old Style" w:hAnsi="Bookman Old Style"/>
            <w:noProof/>
            <w:sz w:val="24"/>
            <w:szCs w:val="24"/>
          </w:rPr>
          <w:t>2</w:t>
        </w:r>
        <w:r w:rsidRPr="005C6DF3">
          <w:rPr>
            <w:rFonts w:ascii="Bookman Old Style" w:hAnsi="Bookman Old Style"/>
            <w:noProof/>
            <w:sz w:val="24"/>
            <w:szCs w:val="24"/>
          </w:rPr>
          <w:fldChar w:fldCharType="end"/>
        </w:r>
      </w:p>
    </w:sdtContent>
  </w:sdt>
  <w:p w14:paraId="1EA63E2C" w14:textId="77777777" w:rsidR="005C6DF3" w:rsidRDefault="005C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1A4E" w14:textId="77777777" w:rsidR="00041989" w:rsidRDefault="00041989" w:rsidP="005C6DF3">
      <w:pPr>
        <w:spacing w:after="0" w:line="240" w:lineRule="auto"/>
      </w:pPr>
      <w:r>
        <w:separator/>
      </w:r>
    </w:p>
  </w:footnote>
  <w:footnote w:type="continuationSeparator" w:id="0">
    <w:p w14:paraId="61EA9451" w14:textId="77777777" w:rsidR="00041989" w:rsidRDefault="00041989" w:rsidP="005C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612"/>
    <w:multiLevelType w:val="hybridMultilevel"/>
    <w:tmpl w:val="CC0EA926"/>
    <w:lvl w:ilvl="0" w:tplc="978EBB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788F"/>
    <w:multiLevelType w:val="hybridMultilevel"/>
    <w:tmpl w:val="941EEB7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22CB"/>
    <w:multiLevelType w:val="hybridMultilevel"/>
    <w:tmpl w:val="1DB4E9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E31B4"/>
    <w:multiLevelType w:val="hybridMultilevel"/>
    <w:tmpl w:val="16F621A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47E5"/>
    <w:multiLevelType w:val="hybridMultilevel"/>
    <w:tmpl w:val="BE88217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6F19"/>
    <w:multiLevelType w:val="hybridMultilevel"/>
    <w:tmpl w:val="C1542AA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4E1F"/>
    <w:multiLevelType w:val="hybridMultilevel"/>
    <w:tmpl w:val="6574A0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C9D"/>
    <w:multiLevelType w:val="hybridMultilevel"/>
    <w:tmpl w:val="6AFA669C"/>
    <w:lvl w:ilvl="0" w:tplc="6A3A99B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4C90"/>
    <w:multiLevelType w:val="hybridMultilevel"/>
    <w:tmpl w:val="EE1E8B7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17B88"/>
    <w:multiLevelType w:val="hybridMultilevel"/>
    <w:tmpl w:val="E7F68C68"/>
    <w:lvl w:ilvl="0" w:tplc="38090019">
      <w:start w:val="1"/>
      <w:numFmt w:val="lowerLetter"/>
      <w:lvlText w:val="%1."/>
      <w:lvlJc w:val="left"/>
      <w:pPr>
        <w:ind w:left="3905" w:hanging="360"/>
      </w:pPr>
    </w:lvl>
    <w:lvl w:ilvl="1" w:tplc="38090019" w:tentative="1">
      <w:start w:val="1"/>
      <w:numFmt w:val="lowerLetter"/>
      <w:lvlText w:val="%2."/>
      <w:lvlJc w:val="left"/>
      <w:pPr>
        <w:ind w:left="4625" w:hanging="360"/>
      </w:pPr>
    </w:lvl>
    <w:lvl w:ilvl="2" w:tplc="3809001B" w:tentative="1">
      <w:start w:val="1"/>
      <w:numFmt w:val="lowerRoman"/>
      <w:lvlText w:val="%3."/>
      <w:lvlJc w:val="right"/>
      <w:pPr>
        <w:ind w:left="5345" w:hanging="180"/>
      </w:pPr>
    </w:lvl>
    <w:lvl w:ilvl="3" w:tplc="3809000F" w:tentative="1">
      <w:start w:val="1"/>
      <w:numFmt w:val="decimal"/>
      <w:lvlText w:val="%4."/>
      <w:lvlJc w:val="left"/>
      <w:pPr>
        <w:ind w:left="6065" w:hanging="360"/>
      </w:pPr>
    </w:lvl>
    <w:lvl w:ilvl="4" w:tplc="38090019" w:tentative="1">
      <w:start w:val="1"/>
      <w:numFmt w:val="lowerLetter"/>
      <w:lvlText w:val="%5."/>
      <w:lvlJc w:val="left"/>
      <w:pPr>
        <w:ind w:left="6785" w:hanging="360"/>
      </w:pPr>
    </w:lvl>
    <w:lvl w:ilvl="5" w:tplc="3809001B" w:tentative="1">
      <w:start w:val="1"/>
      <w:numFmt w:val="lowerRoman"/>
      <w:lvlText w:val="%6."/>
      <w:lvlJc w:val="right"/>
      <w:pPr>
        <w:ind w:left="7505" w:hanging="180"/>
      </w:pPr>
    </w:lvl>
    <w:lvl w:ilvl="6" w:tplc="3809000F" w:tentative="1">
      <w:start w:val="1"/>
      <w:numFmt w:val="decimal"/>
      <w:lvlText w:val="%7."/>
      <w:lvlJc w:val="left"/>
      <w:pPr>
        <w:ind w:left="8225" w:hanging="360"/>
      </w:pPr>
    </w:lvl>
    <w:lvl w:ilvl="7" w:tplc="38090019" w:tentative="1">
      <w:start w:val="1"/>
      <w:numFmt w:val="lowerLetter"/>
      <w:lvlText w:val="%8."/>
      <w:lvlJc w:val="left"/>
      <w:pPr>
        <w:ind w:left="8945" w:hanging="360"/>
      </w:pPr>
    </w:lvl>
    <w:lvl w:ilvl="8" w:tplc="38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38490481"/>
    <w:multiLevelType w:val="hybridMultilevel"/>
    <w:tmpl w:val="FD56658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209F"/>
    <w:multiLevelType w:val="hybridMultilevel"/>
    <w:tmpl w:val="601435E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C5910"/>
    <w:multiLevelType w:val="hybridMultilevel"/>
    <w:tmpl w:val="0D3C0096"/>
    <w:lvl w:ilvl="0" w:tplc="0CE629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06FBA"/>
    <w:multiLevelType w:val="hybridMultilevel"/>
    <w:tmpl w:val="ECA05C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95F10"/>
    <w:multiLevelType w:val="hybridMultilevel"/>
    <w:tmpl w:val="77626E24"/>
    <w:lvl w:ilvl="0" w:tplc="4B50C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F4F27"/>
    <w:multiLevelType w:val="hybridMultilevel"/>
    <w:tmpl w:val="A38CA66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41F10"/>
    <w:multiLevelType w:val="hybridMultilevel"/>
    <w:tmpl w:val="CD48B8A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4A5D"/>
    <w:multiLevelType w:val="hybridMultilevel"/>
    <w:tmpl w:val="4FE0C526"/>
    <w:lvl w:ilvl="0" w:tplc="4350AF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61FD3"/>
    <w:multiLevelType w:val="hybridMultilevel"/>
    <w:tmpl w:val="512ED16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E2CC9"/>
    <w:multiLevelType w:val="hybridMultilevel"/>
    <w:tmpl w:val="B8A41726"/>
    <w:lvl w:ilvl="0" w:tplc="866454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C617D"/>
    <w:multiLevelType w:val="hybridMultilevel"/>
    <w:tmpl w:val="AA52887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17C3F"/>
    <w:multiLevelType w:val="hybridMultilevel"/>
    <w:tmpl w:val="95926A1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3701"/>
    <w:multiLevelType w:val="hybridMultilevel"/>
    <w:tmpl w:val="C808646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F6236"/>
    <w:multiLevelType w:val="hybridMultilevel"/>
    <w:tmpl w:val="0672B91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E4747"/>
    <w:multiLevelType w:val="hybridMultilevel"/>
    <w:tmpl w:val="57408B54"/>
    <w:lvl w:ilvl="0" w:tplc="15CCAC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731B3"/>
    <w:multiLevelType w:val="hybridMultilevel"/>
    <w:tmpl w:val="BB74DC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5DDC"/>
    <w:multiLevelType w:val="hybridMultilevel"/>
    <w:tmpl w:val="D0888E20"/>
    <w:lvl w:ilvl="0" w:tplc="D5522F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A76BE"/>
    <w:multiLevelType w:val="hybridMultilevel"/>
    <w:tmpl w:val="5E78A8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55CBD"/>
    <w:multiLevelType w:val="hybridMultilevel"/>
    <w:tmpl w:val="13F04618"/>
    <w:lvl w:ilvl="0" w:tplc="B5E482A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74DD"/>
    <w:multiLevelType w:val="hybridMultilevel"/>
    <w:tmpl w:val="5E9611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1590">
    <w:abstractNumId w:val="26"/>
  </w:num>
  <w:num w:numId="2" w16cid:durableId="1328512010">
    <w:abstractNumId w:val="27"/>
  </w:num>
  <w:num w:numId="3" w16cid:durableId="1313949393">
    <w:abstractNumId w:val="3"/>
  </w:num>
  <w:num w:numId="4" w16cid:durableId="2007125701">
    <w:abstractNumId w:val="9"/>
  </w:num>
  <w:num w:numId="5" w16cid:durableId="1527329369">
    <w:abstractNumId w:val="20"/>
  </w:num>
  <w:num w:numId="6" w16cid:durableId="279408">
    <w:abstractNumId w:val="10"/>
  </w:num>
  <w:num w:numId="7" w16cid:durableId="848327296">
    <w:abstractNumId w:val="4"/>
  </w:num>
  <w:num w:numId="8" w16cid:durableId="380985705">
    <w:abstractNumId w:val="22"/>
  </w:num>
  <w:num w:numId="9" w16cid:durableId="1344237851">
    <w:abstractNumId w:val="16"/>
  </w:num>
  <w:num w:numId="10" w16cid:durableId="442001932">
    <w:abstractNumId w:val="13"/>
  </w:num>
  <w:num w:numId="11" w16cid:durableId="1847665751">
    <w:abstractNumId w:val="21"/>
  </w:num>
  <w:num w:numId="12" w16cid:durableId="1237936852">
    <w:abstractNumId w:val="15"/>
  </w:num>
  <w:num w:numId="13" w16cid:durableId="453209020">
    <w:abstractNumId w:val="1"/>
  </w:num>
  <w:num w:numId="14" w16cid:durableId="464275884">
    <w:abstractNumId w:val="7"/>
  </w:num>
  <w:num w:numId="15" w16cid:durableId="1712487221">
    <w:abstractNumId w:val="8"/>
  </w:num>
  <w:num w:numId="16" w16cid:durableId="423645480">
    <w:abstractNumId w:val="25"/>
  </w:num>
  <w:num w:numId="17" w16cid:durableId="2115321178">
    <w:abstractNumId w:val="11"/>
  </w:num>
  <w:num w:numId="18" w16cid:durableId="1087994469">
    <w:abstractNumId w:val="6"/>
  </w:num>
  <w:num w:numId="19" w16cid:durableId="1380398676">
    <w:abstractNumId w:val="5"/>
  </w:num>
  <w:num w:numId="20" w16cid:durableId="746461117">
    <w:abstractNumId w:val="23"/>
  </w:num>
  <w:num w:numId="21" w16cid:durableId="871964350">
    <w:abstractNumId w:val="18"/>
  </w:num>
  <w:num w:numId="22" w16cid:durableId="679166209">
    <w:abstractNumId w:val="2"/>
  </w:num>
  <w:num w:numId="23" w16cid:durableId="354582526">
    <w:abstractNumId w:val="17"/>
  </w:num>
  <w:num w:numId="24" w16cid:durableId="1012604763">
    <w:abstractNumId w:val="19"/>
  </w:num>
  <w:num w:numId="25" w16cid:durableId="1356152820">
    <w:abstractNumId w:val="28"/>
  </w:num>
  <w:num w:numId="26" w16cid:durableId="819612149">
    <w:abstractNumId w:val="12"/>
  </w:num>
  <w:num w:numId="27" w16cid:durableId="1353990338">
    <w:abstractNumId w:val="14"/>
  </w:num>
  <w:num w:numId="28" w16cid:durableId="1155759366">
    <w:abstractNumId w:val="0"/>
  </w:num>
  <w:num w:numId="29" w16cid:durableId="1608153490">
    <w:abstractNumId w:val="29"/>
  </w:num>
  <w:num w:numId="30" w16cid:durableId="1482769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44F"/>
    <w:rsid w:val="00030CD1"/>
    <w:rsid w:val="000322C4"/>
    <w:rsid w:val="00041989"/>
    <w:rsid w:val="00076263"/>
    <w:rsid w:val="000864E9"/>
    <w:rsid w:val="00086A81"/>
    <w:rsid w:val="000A371E"/>
    <w:rsid w:val="000A4815"/>
    <w:rsid w:val="000B0A63"/>
    <w:rsid w:val="000B7BC9"/>
    <w:rsid w:val="00120B2D"/>
    <w:rsid w:val="0012558D"/>
    <w:rsid w:val="00150881"/>
    <w:rsid w:val="0018016F"/>
    <w:rsid w:val="00185D0E"/>
    <w:rsid w:val="00190197"/>
    <w:rsid w:val="001C6364"/>
    <w:rsid w:val="001E5959"/>
    <w:rsid w:val="00200A87"/>
    <w:rsid w:val="0022076E"/>
    <w:rsid w:val="0024206F"/>
    <w:rsid w:val="00245DE6"/>
    <w:rsid w:val="00256611"/>
    <w:rsid w:val="00263383"/>
    <w:rsid w:val="00270EE6"/>
    <w:rsid w:val="0027120C"/>
    <w:rsid w:val="002811CB"/>
    <w:rsid w:val="00281426"/>
    <w:rsid w:val="002A04D3"/>
    <w:rsid w:val="002A2F4F"/>
    <w:rsid w:val="002C5DCC"/>
    <w:rsid w:val="002E357F"/>
    <w:rsid w:val="002F3D0D"/>
    <w:rsid w:val="002F5046"/>
    <w:rsid w:val="0031265F"/>
    <w:rsid w:val="00327414"/>
    <w:rsid w:val="00331123"/>
    <w:rsid w:val="003419FC"/>
    <w:rsid w:val="003531D5"/>
    <w:rsid w:val="00372302"/>
    <w:rsid w:val="003835E8"/>
    <w:rsid w:val="0039415D"/>
    <w:rsid w:val="003B0604"/>
    <w:rsid w:val="003B244F"/>
    <w:rsid w:val="003B5B5F"/>
    <w:rsid w:val="003B7665"/>
    <w:rsid w:val="0041457D"/>
    <w:rsid w:val="004226D6"/>
    <w:rsid w:val="00436B43"/>
    <w:rsid w:val="00467934"/>
    <w:rsid w:val="00492CDC"/>
    <w:rsid w:val="004D1C81"/>
    <w:rsid w:val="004D2D32"/>
    <w:rsid w:val="004E50E8"/>
    <w:rsid w:val="004F1787"/>
    <w:rsid w:val="00522E27"/>
    <w:rsid w:val="00536881"/>
    <w:rsid w:val="00543980"/>
    <w:rsid w:val="00543AD6"/>
    <w:rsid w:val="00550092"/>
    <w:rsid w:val="00563DAE"/>
    <w:rsid w:val="005745B6"/>
    <w:rsid w:val="005863B6"/>
    <w:rsid w:val="005C6DF3"/>
    <w:rsid w:val="005E44EE"/>
    <w:rsid w:val="005E4526"/>
    <w:rsid w:val="005E5E90"/>
    <w:rsid w:val="00611811"/>
    <w:rsid w:val="00680399"/>
    <w:rsid w:val="00682DCC"/>
    <w:rsid w:val="006864B2"/>
    <w:rsid w:val="0069484B"/>
    <w:rsid w:val="006B785E"/>
    <w:rsid w:val="006B78DD"/>
    <w:rsid w:val="006D0B08"/>
    <w:rsid w:val="006D47AB"/>
    <w:rsid w:val="006D6D0F"/>
    <w:rsid w:val="006E02C2"/>
    <w:rsid w:val="00711914"/>
    <w:rsid w:val="007458EC"/>
    <w:rsid w:val="00745AC1"/>
    <w:rsid w:val="007732D2"/>
    <w:rsid w:val="00784E7F"/>
    <w:rsid w:val="007A306B"/>
    <w:rsid w:val="007A3BED"/>
    <w:rsid w:val="007B75D2"/>
    <w:rsid w:val="007D68CD"/>
    <w:rsid w:val="00816AA9"/>
    <w:rsid w:val="0082364B"/>
    <w:rsid w:val="00856419"/>
    <w:rsid w:val="008624E7"/>
    <w:rsid w:val="00882001"/>
    <w:rsid w:val="00886DA7"/>
    <w:rsid w:val="00897D4B"/>
    <w:rsid w:val="008C0B55"/>
    <w:rsid w:val="008C2572"/>
    <w:rsid w:val="008D1F21"/>
    <w:rsid w:val="008F0B95"/>
    <w:rsid w:val="009132A2"/>
    <w:rsid w:val="009214B2"/>
    <w:rsid w:val="009514B9"/>
    <w:rsid w:val="00970958"/>
    <w:rsid w:val="00977EBF"/>
    <w:rsid w:val="009915D6"/>
    <w:rsid w:val="009A78A2"/>
    <w:rsid w:val="00A038E7"/>
    <w:rsid w:val="00A51A52"/>
    <w:rsid w:val="00A57514"/>
    <w:rsid w:val="00A800A1"/>
    <w:rsid w:val="00A96896"/>
    <w:rsid w:val="00AF62CF"/>
    <w:rsid w:val="00B05EF5"/>
    <w:rsid w:val="00B16742"/>
    <w:rsid w:val="00B25413"/>
    <w:rsid w:val="00B35098"/>
    <w:rsid w:val="00B85FCF"/>
    <w:rsid w:val="00BA02B9"/>
    <w:rsid w:val="00BA6C95"/>
    <w:rsid w:val="00BB1C24"/>
    <w:rsid w:val="00BE19B0"/>
    <w:rsid w:val="00C00FF0"/>
    <w:rsid w:val="00C24880"/>
    <w:rsid w:val="00C2531D"/>
    <w:rsid w:val="00C52B00"/>
    <w:rsid w:val="00C74B1E"/>
    <w:rsid w:val="00CB3F5E"/>
    <w:rsid w:val="00CC4E98"/>
    <w:rsid w:val="00CC7A28"/>
    <w:rsid w:val="00CC7D86"/>
    <w:rsid w:val="00D17250"/>
    <w:rsid w:val="00D351F7"/>
    <w:rsid w:val="00D45DF6"/>
    <w:rsid w:val="00D8047E"/>
    <w:rsid w:val="00D83889"/>
    <w:rsid w:val="00D8731D"/>
    <w:rsid w:val="00DD43E8"/>
    <w:rsid w:val="00E0565D"/>
    <w:rsid w:val="00E11671"/>
    <w:rsid w:val="00E34B21"/>
    <w:rsid w:val="00E364A0"/>
    <w:rsid w:val="00E51995"/>
    <w:rsid w:val="00E5362C"/>
    <w:rsid w:val="00E748D5"/>
    <w:rsid w:val="00E9134E"/>
    <w:rsid w:val="00E96056"/>
    <w:rsid w:val="00EA1857"/>
    <w:rsid w:val="00ED05CD"/>
    <w:rsid w:val="00F2348C"/>
    <w:rsid w:val="00F303B4"/>
    <w:rsid w:val="00F37A44"/>
    <w:rsid w:val="00F44057"/>
    <w:rsid w:val="00F61645"/>
    <w:rsid w:val="00F6378C"/>
    <w:rsid w:val="00F76113"/>
    <w:rsid w:val="00F97298"/>
    <w:rsid w:val="00FA56BE"/>
    <w:rsid w:val="00FB500E"/>
    <w:rsid w:val="00FF12FB"/>
    <w:rsid w:val="00FF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4CE5"/>
  <w15:docId w15:val="{5A1031CE-FA5D-4B07-9580-CF1F0D9E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F3"/>
  </w:style>
  <w:style w:type="paragraph" w:styleId="Footer">
    <w:name w:val="footer"/>
    <w:basedOn w:val="Normal"/>
    <w:link w:val="FooterChar"/>
    <w:uiPriority w:val="99"/>
    <w:unhideWhenUsed/>
    <w:rsid w:val="005C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3232-B685-43E7-B44F-E9280784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Tenti Oktavianti</dc:creator>
  <cp:lastModifiedBy>Atha Pranaja</cp:lastModifiedBy>
  <cp:revision>20</cp:revision>
  <cp:lastPrinted>2024-10-21T09:18:00Z</cp:lastPrinted>
  <dcterms:created xsi:type="dcterms:W3CDTF">2024-10-08T07:17:00Z</dcterms:created>
  <dcterms:modified xsi:type="dcterms:W3CDTF">2025-06-13T07:56:00Z</dcterms:modified>
</cp:coreProperties>
</file>