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68"/>
          <w:tab w:val="left" w:leader="none" w:pos="2410"/>
        </w:tabs>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2">
      <w:pPr>
        <w:tabs>
          <w:tab w:val="left" w:leader="none" w:pos="2268"/>
          <w:tab w:val="left" w:leader="none" w:pos="2410"/>
        </w:tabs>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tabs>
          <w:tab w:val="left" w:leader="none" w:pos="2268"/>
          <w:tab w:val="left" w:leader="none" w:pos="2410"/>
        </w:tabs>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4">
      <w:pPr>
        <w:tabs>
          <w:tab w:val="left" w:leader="none" w:pos="2268"/>
          <w:tab w:val="left" w:leader="none" w:pos="2410"/>
        </w:tabs>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tabs>
          <w:tab w:val="left" w:leader="none" w:pos="2268"/>
          <w:tab w:val="left" w:leader="none" w:pos="2410"/>
        </w:tabs>
        <w:spacing w:after="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KEPUTUSAN GUBERNUR BANTEN………</w:t>
      </w:r>
    </w:p>
    <w:p w:rsidR="00000000" w:rsidDel="00000000" w:rsidP="00000000" w:rsidRDefault="00000000" w:rsidRPr="00000000" w14:paraId="00000006">
      <w:pPr>
        <w:tabs>
          <w:tab w:val="left" w:leader="none" w:pos="2268"/>
          <w:tab w:val="left" w:leader="none" w:pos="2410"/>
        </w:tabs>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NOMOR  …………………….</w:t>
      </w:r>
    </w:p>
    <w:p w:rsidR="00000000" w:rsidDel="00000000" w:rsidP="00000000" w:rsidRDefault="00000000" w:rsidRPr="00000000" w14:paraId="00000007">
      <w:pPr>
        <w:tabs>
          <w:tab w:val="left" w:leader="none" w:pos="2268"/>
          <w:tab w:val="left" w:leader="none" w:pos="2410"/>
        </w:tabs>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TENTANG</w:t>
      </w:r>
    </w:p>
    <w:p w:rsidR="00000000" w:rsidDel="00000000" w:rsidP="00000000" w:rsidRDefault="00000000" w:rsidRPr="00000000" w14:paraId="00000008">
      <w:pPr>
        <w:tabs>
          <w:tab w:val="left" w:leader="none" w:pos="2268"/>
          <w:tab w:val="left" w:leader="none" w:pos="2410"/>
        </w:tabs>
        <w:spacing w:after="0" w:line="42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highlight w:val="yellow"/>
          <w:rtl w:val="0"/>
        </w:rPr>
        <w:t xml:space="preserve">PENETAPAN REKENING SATUAN PENDIDIKAN UNTUK PENERIMAAN PENYALURAN DANA HIBAH PADA SEKOLAH MENENGAH KEJURUAN NEGERI DAN SEKOLAH MENENGAH ATAS NEGERI DI LINGKUNGAN PEMERINTAH PROVINSI BANTEN</w:t>
      </w:r>
      <w:r w:rsidDel="00000000" w:rsidR="00000000" w:rsidRPr="00000000">
        <w:rPr>
          <w:rtl w:val="0"/>
        </w:rPr>
      </w:r>
    </w:p>
    <w:p w:rsidR="00000000" w:rsidDel="00000000" w:rsidP="00000000" w:rsidRDefault="00000000" w:rsidRPr="00000000" w14:paraId="00000009">
      <w:pPr>
        <w:tabs>
          <w:tab w:val="left" w:leader="none" w:pos="2268"/>
          <w:tab w:val="left" w:leader="none" w:pos="2410"/>
        </w:tabs>
        <w:spacing w:after="360" w:befor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GUBERNUR BANTEN,</w:t>
      </w:r>
    </w:p>
    <w:p w:rsidR="00000000" w:rsidDel="00000000" w:rsidP="00000000" w:rsidRDefault="00000000" w:rsidRPr="00000000" w14:paraId="0000000A">
      <w:pPr>
        <w:tabs>
          <w:tab w:val="left" w:leader="none" w:pos="2268"/>
          <w:tab w:val="left" w:leader="none" w:pos="2410"/>
        </w:tabs>
        <w:spacing w:after="360" w:before="36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B">
      <w:pPr>
        <w:tabs>
          <w:tab w:val="left" w:leader="none" w:pos="1843"/>
          <w:tab w:val="left" w:leader="none" w:pos="2268"/>
          <w:tab w:val="left" w:leader="none" w:pos="2410"/>
          <w:tab w:val="left" w:leader="none" w:pos="2977"/>
        </w:tabs>
        <w:spacing w:after="120" w:line="400" w:lineRule="auto"/>
        <w:ind w:left="2981" w:hanging="298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Menimbang</w:t>
        <w:tab/>
        <w:tab/>
        <w:t xml:space="preserve">:</w:t>
        <w:tab/>
        <w:t xml:space="preserve">a.</w:t>
        <w:tab/>
        <w:t xml:space="preserve">bahwa untuk penguatan proses pembelajaran berbasis dunia kerja dan untuk membangun etos dan budaya kerja pada peserta didik Sekolah Menengah Kejuruan dan Sekolah Menengah Atas  yang sesuai dengan standar dunia usaha, dunia industri, dan dunia kerja, pemerintah menyalurkan pendanaan melalui hibah kepada Satuan Pendidikan Negeri di Lingkungan Pemerintah Provinsi Banten; </w:t>
      </w:r>
    </w:p>
    <w:p w:rsidR="00000000" w:rsidDel="00000000" w:rsidP="00000000" w:rsidRDefault="00000000" w:rsidRPr="00000000" w14:paraId="0000000C">
      <w:pPr>
        <w:tabs>
          <w:tab w:val="left" w:leader="none" w:pos="1843"/>
          <w:tab w:val="left" w:leader="none" w:pos="2268"/>
          <w:tab w:val="left" w:leader="none" w:pos="2410"/>
          <w:tab w:val="left" w:leader="none" w:pos="2977"/>
        </w:tabs>
        <w:spacing w:after="120" w:line="400" w:lineRule="auto"/>
        <w:ind w:left="2981" w:hanging="298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 xml:space="preserve">b.</w:t>
        <w:tab/>
        <w:t xml:space="preserve">bahwa sesuai dengan ketentuan dalam Lampiran              Bab V Huruf M Nomor 2.h Peraturan Gubernur Banten Nomor 1 Tahun 2024 tentang Pedoman Pelaksanaan Anggaran Pendapatan dan Belanja Daerah Tahun Anggaran 2024 dan untuk mempercepat proses dan tertib administrasi dalam penyaluran dana hibah kepada Sekolah Menengah Kejuruan Negeri di Lingkungan Pemerintah Provinsi Banten, perlu menetapkan rekening satuan Pendidikan penyaluran hibah dengan Keputusan Gubernur;</w:t>
      </w:r>
    </w:p>
    <w:p w:rsidR="00000000" w:rsidDel="00000000" w:rsidP="00000000" w:rsidRDefault="00000000" w:rsidRPr="00000000" w14:paraId="0000000D">
      <w:pPr>
        <w:tabs>
          <w:tab w:val="left" w:leader="none" w:pos="1843"/>
          <w:tab w:val="left" w:leader="none" w:pos="2268"/>
          <w:tab w:val="left" w:leader="none" w:pos="2410"/>
          <w:tab w:val="left" w:leader="none" w:pos="2977"/>
        </w:tabs>
        <w:spacing w:after="120" w:line="380" w:lineRule="auto"/>
        <w:ind w:left="2981" w:hanging="2981"/>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 xml:space="preserve"> </w:t>
        <w:tab/>
        <w:t xml:space="preserve">c.</w:t>
        <w:tab/>
        <w:t xml:space="preserve">bahwa berdasarkan pertimbangan sebagaimana dimaksud dalam huruf a dan huruf b, perlu menetapkan Keputusan Gubernur tentang Penetapan Rekening Satuan Pendidikan Untuk Penerimaan Penyaluran Dana Hibah Pada Sekolah Menengah Kejuruan Negeri dan Sekolah Menengah Atas Negeri di Lingkungan Pemerintah Provinsi Banten;</w:t>
        <w:tab/>
        <w:tab/>
        <w:tab/>
        <w:tab/>
      </w:r>
    </w:p>
    <w:p w:rsidR="00000000" w:rsidDel="00000000" w:rsidP="00000000" w:rsidRDefault="00000000" w:rsidRPr="00000000" w14:paraId="0000000E">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Mengingat</w:t>
        <w:tab/>
        <w:tab/>
        <w:t xml:space="preserve">:</w:t>
        <w:tab/>
        <w:tab/>
        <w:t xml:space="preserve">1.</w:t>
        <w:tab/>
        <w:t xml:space="preserve">Undang-Undang Nomor 23 Tahun 2000 tentang Pembentukan Propinsi Banten (Lembaran Negara Republik Indonesia Tahun 2000 Nomor 182, Tambahan Lembaran Negara Republik Indonesia Nomor 4010);</w:t>
      </w:r>
    </w:p>
    <w:p w:rsidR="00000000" w:rsidDel="00000000" w:rsidP="00000000" w:rsidRDefault="00000000" w:rsidRPr="00000000" w14:paraId="0000000F">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ab/>
        <w:t xml:space="preserve">2.</w:t>
        <w:tab/>
        <w:t xml:space="preserve">Undang-Undang Nomor 20 Tahun 2003 tentang Sistem Pendidikan Nasional (Lembaran Negara Republik Indonesia Tahun 2003 Nomor 78, Tambahan Lembaran Negara Republik Indonesia Nomor 4302);</w:t>
      </w:r>
    </w:p>
    <w:p w:rsidR="00000000" w:rsidDel="00000000" w:rsidP="00000000" w:rsidRDefault="00000000" w:rsidRPr="00000000" w14:paraId="00000010">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ab/>
        <w:t xml:space="preserve">3.</w:t>
        <w:tab/>
        <w:t xml:space="preserve">Undang-Undang Nomor 23 Tahun 2014 tentang Pemerintahan Daerah (Lembaran Negara Republik Indonesia Tahun 2014 Nomor 244, Tambahan Lembaran Negara Republik Indonesia Nomor 5587) sebagaimana telah diubah beberapa kali terakhir dengan Undang-Undang Nomor 6 Tahun 2023 tentang Penetapan Peraturan Pemerintah pengganti Undang-Undang Nomor 2 Tahun 2022 tentang Cipta Kerja menjadi Undang-Undang (Lembaran Negara Republik Indonesia Tahun 2023 Nomor 41, Tambahan Lembaran Negara Republik Indonesia Nomor 6856);</w:t>
      </w:r>
    </w:p>
    <w:p w:rsidR="00000000" w:rsidDel="00000000" w:rsidP="00000000" w:rsidRDefault="00000000" w:rsidRPr="00000000" w14:paraId="00000011">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ab/>
        <w:t xml:space="preserve">4.</w:t>
        <w:tab/>
        <w:t xml:space="preserve">Peraturan Pemerintah Nomor 12 Tahun 2019 tentang Pengelolaan Keuangan Daerah (Lembaran Negara Republik Indonesia Tahun 2019 Nomor 42, Tambahan Lembaran Negara Republik Indonesia Nomor 6322);</w:t>
      </w:r>
    </w:p>
    <w:p w:rsidR="00000000" w:rsidDel="00000000" w:rsidP="00000000" w:rsidRDefault="00000000" w:rsidRPr="00000000" w14:paraId="00000012">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3">
      <w:pPr>
        <w:tabs>
          <w:tab w:val="left" w:leader="none" w:pos="1843"/>
          <w:tab w:val="left" w:leader="none" w:pos="2268"/>
          <w:tab w:val="left" w:leader="none" w:pos="2410"/>
          <w:tab w:val="left" w:leader="none" w:pos="2552"/>
          <w:tab w:val="left" w:leader="none" w:pos="2977"/>
        </w:tabs>
        <w:spacing w:after="120" w:line="380" w:lineRule="auto"/>
        <w:ind w:left="2977" w:hanging="2977"/>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4">
      <w:pPr>
        <w:tabs>
          <w:tab w:val="left" w:leader="none" w:pos="2880"/>
        </w:tabs>
        <w:spacing w:after="120" w:line="380" w:lineRule="auto"/>
        <w:ind w:left="2977"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w:t>
        <w:tab/>
        <w:tab/>
        <w:t xml:space="preserve">Peraturan Menteri Dalam Negeri Nomor 77 Tahun 2020 tentang Pedoman Teknis Pengelolaan Keuangan Daerah (Berita Negara Republik Indonesia Tahun 2020 Nomor 1781);  </w:t>
      </w:r>
    </w:p>
    <w:p w:rsidR="00000000" w:rsidDel="00000000" w:rsidP="00000000" w:rsidRDefault="00000000" w:rsidRPr="00000000" w14:paraId="00000015">
      <w:pPr>
        <w:tabs>
          <w:tab w:val="left" w:leader="none" w:pos="1843"/>
          <w:tab w:val="left" w:leader="none" w:pos="2268"/>
          <w:tab w:val="left" w:leader="none" w:pos="2410"/>
          <w:tab w:val="left" w:leader="none" w:pos="2552"/>
          <w:tab w:val="left" w:leader="none" w:pos="2977"/>
        </w:tabs>
        <w:spacing w:after="120" w:line="360" w:lineRule="auto"/>
        <w:ind w:left="2981"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ab/>
        <w:t xml:space="preserve">6. </w:t>
        <w:tab/>
        <w:t xml:space="preserve">Peraturan Daerah Provinsi Banten Nomor 3 Tahun 2021 tentang Pengelolaan Keuangan Daerah Provinsi Banten (Lembaran Daerah Provinsi Banten Tahun 2021 Nomor 3, Tambahan Lembaran Daerah Provinsi Banten Nomor 94);</w:t>
      </w:r>
    </w:p>
    <w:p w:rsidR="00000000" w:rsidDel="00000000" w:rsidP="00000000" w:rsidRDefault="00000000" w:rsidRPr="00000000" w14:paraId="00000016">
      <w:pPr>
        <w:tabs>
          <w:tab w:val="left" w:leader="none" w:pos="1843"/>
          <w:tab w:val="left" w:leader="none" w:pos="2268"/>
          <w:tab w:val="left" w:leader="none" w:pos="2410"/>
          <w:tab w:val="left" w:leader="none" w:pos="2552"/>
        </w:tabs>
        <w:spacing w:after="120" w:line="360" w:lineRule="auto"/>
        <w:ind w:left="2981" w:hanging="425"/>
        <w:jc w:val="both"/>
        <w:rPr>
          <w:rFonts w:ascii="Bookman Old Style" w:cs="Bookman Old Style" w:eastAsia="Bookman Old Style" w:hAnsi="Bookman Old Style"/>
          <w:color w:val="ff0000"/>
          <w:sz w:val="24"/>
          <w:szCs w:val="24"/>
        </w:rPr>
      </w:pPr>
      <w:r w:rsidDel="00000000" w:rsidR="00000000" w:rsidRPr="00000000">
        <w:rPr>
          <w:rFonts w:ascii="Bookman Old Style" w:cs="Bookman Old Style" w:eastAsia="Bookman Old Style" w:hAnsi="Bookman Old Style"/>
          <w:sz w:val="24"/>
          <w:szCs w:val="24"/>
          <w:rtl w:val="0"/>
        </w:rPr>
        <w:t xml:space="preserve">7.</w:t>
        <w:tab/>
        <w:t xml:space="preserve">Peraturan Gubernur Banten Nomor 37 Tahun 2021 tentang Sistem dan Prosedur Pengelolaan Keuangan Daerah Provinsi Banten (Berita Daerah Provinsi Banten Tahun 2021 Nomor 37);</w:t>
      </w:r>
      <w:r w:rsidDel="00000000" w:rsidR="00000000" w:rsidRPr="00000000">
        <w:rPr>
          <w:rtl w:val="0"/>
        </w:rPr>
      </w:r>
    </w:p>
    <w:p w:rsidR="00000000" w:rsidDel="00000000" w:rsidP="00000000" w:rsidRDefault="00000000" w:rsidRPr="00000000" w14:paraId="00000017">
      <w:pPr>
        <w:tabs>
          <w:tab w:val="left" w:leader="none" w:pos="1843"/>
          <w:tab w:val="left" w:leader="none" w:pos="2268"/>
          <w:tab w:val="left" w:leader="none" w:pos="2410"/>
          <w:tab w:val="left" w:leader="none" w:pos="2552"/>
        </w:tabs>
        <w:spacing w:after="120" w:line="360" w:lineRule="auto"/>
        <w:ind w:left="2981" w:hanging="425"/>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w:t>
        <w:tab/>
        <w:t xml:space="preserve">Peraturan Gubernur Banten Nomor 1 Tahun 2024 tentang Pedoman Pelaksanaan Anggaran Pendapatan dan Belanja Daerah Provinsi Banten (Berita Daerah Provinsi Banten Tahun 2024 Nomor 1); </w:t>
      </w:r>
    </w:p>
    <w:p w:rsidR="00000000" w:rsidDel="00000000" w:rsidP="00000000" w:rsidRDefault="00000000" w:rsidRPr="00000000" w14:paraId="00000018">
      <w:pPr>
        <w:tabs>
          <w:tab w:val="left" w:leader="none" w:pos="1843"/>
          <w:tab w:val="left" w:leader="none" w:pos="2268"/>
          <w:tab w:val="left" w:leader="none" w:pos="2410"/>
          <w:tab w:val="left" w:leader="none" w:pos="2552"/>
          <w:tab w:val="left" w:leader="none" w:pos="2977"/>
        </w:tabs>
        <w:spacing w:after="120" w:line="360" w:lineRule="auto"/>
        <w:ind w:left="2981" w:hanging="2977"/>
        <w:jc w:val="both"/>
        <w:rPr>
          <w:rFonts w:ascii="Bookman Old Style" w:cs="Bookman Old Style" w:eastAsia="Bookman Old Style" w:hAnsi="Bookman Old Style"/>
          <w:sz w:val="24"/>
          <w:szCs w:val="24"/>
        </w:rPr>
      </w:pPr>
      <w:bookmarkStart w:colFirst="0" w:colLast="0" w:name="_heading=h.dz5qnusnhe6k" w:id="0"/>
      <w:bookmarkEnd w:id="0"/>
      <w:r w:rsidDel="00000000" w:rsidR="00000000" w:rsidRPr="00000000">
        <w:rPr>
          <w:rFonts w:ascii="Bookman Old Style" w:cs="Bookman Old Style" w:eastAsia="Bookman Old Style" w:hAnsi="Bookman Old Style"/>
          <w:sz w:val="24"/>
          <w:szCs w:val="24"/>
          <w:rtl w:val="0"/>
        </w:rPr>
        <w:t xml:space="preserve">Meperhatikan</w:t>
        <w:tab/>
        <w:tab/>
        <w:t xml:space="preserve">:</w:t>
        <w:tab/>
        <w:tab/>
        <w:t xml:space="preserve">1.</w:t>
        <w:tab/>
        <w:t xml:space="preserve">Surat Kepala Dinas Pendidikan dan Kebudayaan Provinsi Banten, Nomor 900.1.15/12981-Dindikbud/2024 tanggal 29 November 2024 perihal Permohonan Pembuatan Surat Keputusan Gubernur untuk Nomor Rekening Bantuan Hibah;</w:t>
      </w:r>
    </w:p>
    <w:p w:rsidR="00000000" w:rsidDel="00000000" w:rsidP="00000000" w:rsidRDefault="00000000" w:rsidRPr="00000000" w14:paraId="00000019">
      <w:pPr>
        <w:tabs>
          <w:tab w:val="left" w:leader="none" w:pos="1843"/>
          <w:tab w:val="left" w:leader="none" w:pos="2268"/>
          <w:tab w:val="left" w:leader="none" w:pos="2410"/>
          <w:tab w:val="left" w:leader="none" w:pos="2552"/>
          <w:tab w:val="left" w:leader="none" w:pos="2977"/>
        </w:tabs>
        <w:spacing w:after="120" w:line="360" w:lineRule="auto"/>
        <w:ind w:left="2981" w:hanging="2977"/>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tab/>
        <w:tab/>
        <w:tab/>
        <w:t xml:space="preserve">2.</w:t>
        <w:tab/>
        <w:t xml:space="preserve">Surat Kepala Badan Pengelolaan Keuangan dan Aset Daerah Provinsi Banten Nomor                                   B-900/1052/BPKAD/2024 tanggal 13 Desember 2024 hal Permohonan Penetapan Rekening Hibah Satuan Pendidikan di Lingkunan Pemerintah Provinsi Banten;</w:t>
      </w:r>
    </w:p>
    <w:p w:rsidR="00000000" w:rsidDel="00000000" w:rsidP="00000000" w:rsidRDefault="00000000" w:rsidRPr="00000000" w14:paraId="0000001A">
      <w:pPr>
        <w:tabs>
          <w:tab w:val="left" w:leader="none" w:pos="1843"/>
          <w:tab w:val="left" w:leader="none" w:pos="2268"/>
          <w:tab w:val="left" w:leader="none" w:pos="2410"/>
          <w:tab w:val="left" w:leader="none" w:pos="2552"/>
          <w:tab w:val="left" w:leader="none" w:pos="2977"/>
        </w:tabs>
        <w:spacing w:before="240" w:lineRule="auto"/>
        <w:ind w:left="2981" w:hanging="2837"/>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MEMUTUSKAN:</w:t>
      </w:r>
    </w:p>
    <w:p w:rsidR="00000000" w:rsidDel="00000000" w:rsidP="00000000" w:rsidRDefault="00000000" w:rsidRPr="00000000" w14:paraId="0000001B">
      <w:pPr>
        <w:tabs>
          <w:tab w:val="left" w:leader="none" w:pos="1843"/>
          <w:tab w:val="left" w:leader="none" w:pos="2268"/>
          <w:tab w:val="left" w:leader="none" w:pos="2410"/>
          <w:tab w:val="left" w:leader="none" w:pos="2552"/>
          <w:tab w:val="left" w:leader="none" w:pos="2835"/>
        </w:tabs>
        <w:ind w:left="2835" w:hanging="2835"/>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Menetapkan</w:t>
        <w:tab/>
        <w:tab/>
        <w:t xml:space="preserve">:</w:t>
      </w:r>
    </w:p>
    <w:p w:rsidR="00000000" w:rsidDel="00000000" w:rsidP="00000000" w:rsidRDefault="00000000" w:rsidRPr="00000000" w14:paraId="0000001C">
      <w:pPr>
        <w:tabs>
          <w:tab w:val="left" w:leader="none" w:pos="1843"/>
          <w:tab w:val="left" w:leader="none" w:pos="2268"/>
          <w:tab w:val="left" w:leader="none" w:pos="2410"/>
          <w:tab w:val="left" w:leader="none" w:pos="2552"/>
        </w:tabs>
        <w:ind w:left="2552" w:hanging="255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KESATU</w:t>
        <w:tab/>
        <w:tab/>
        <w:t xml:space="preserve">:</w:t>
        <w:tab/>
        <w:tab/>
      </w:r>
      <w:r w:rsidDel="00000000" w:rsidR="00000000" w:rsidRPr="00000000">
        <w:rPr>
          <w:rFonts w:ascii="Bookman Old Style" w:cs="Bookman Old Style" w:eastAsia="Bookman Old Style" w:hAnsi="Bookman Old Style"/>
          <w:sz w:val="24"/>
          <w:szCs w:val="24"/>
          <w:highlight w:val="yellow"/>
          <w:rtl w:val="0"/>
        </w:rPr>
        <w:t xml:space="preserve">Rekening Satuan Pendidikan Untuk Penerimaan Penyaluran Dana Hibah Pada Sekolah Menengah Kejuruan Negeri dan Sekolah Menengah Atas Negeri di Lingkungan Pemerintah Provinsi Banten</w:t>
      </w:r>
      <w:r w:rsidDel="00000000" w:rsidR="00000000" w:rsidRPr="00000000">
        <w:rPr>
          <w:rFonts w:ascii="Bookman Old Style" w:cs="Bookman Old Style" w:eastAsia="Bookman Old Style" w:hAnsi="Bookman Old Style"/>
          <w:sz w:val="24"/>
          <w:szCs w:val="24"/>
          <w:rtl w:val="0"/>
        </w:rPr>
        <w:t xml:space="preserve">, sebagaimana tercantum dalam Lampiran yang merupakan bagian tidak terpisahkan dari Keputusan Gubernur ini. </w:t>
      </w:r>
    </w:p>
    <w:p w:rsidR="00000000" w:rsidDel="00000000" w:rsidP="00000000" w:rsidRDefault="00000000" w:rsidRPr="00000000" w14:paraId="0000001D">
      <w:pPr>
        <w:tabs>
          <w:tab w:val="left" w:leader="none" w:pos="1843"/>
          <w:tab w:val="left" w:leader="none" w:pos="2268"/>
          <w:tab w:val="left" w:leader="none" w:pos="2410"/>
          <w:tab w:val="left" w:leader="none" w:pos="2552"/>
        </w:tabs>
        <w:ind w:left="2552" w:hanging="255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KEDUA</w:t>
        <w:tab/>
        <w:tab/>
        <w:t xml:space="preserve">:</w:t>
        <w:tab/>
        <w:tab/>
        <w:t xml:space="preserve">Keputusan Gubernur ini mulai berlaku pada tanggal ditetapkan.</w:t>
      </w:r>
    </w:p>
    <w:p w:rsidR="00000000" w:rsidDel="00000000" w:rsidP="00000000" w:rsidRDefault="00000000" w:rsidRPr="00000000" w14:paraId="0000001E">
      <w:pPr>
        <w:tabs>
          <w:tab w:val="left" w:leader="none" w:pos="1843"/>
          <w:tab w:val="left" w:leader="none" w:pos="2268"/>
          <w:tab w:val="left" w:leader="none" w:pos="2410"/>
          <w:tab w:val="left" w:leader="none" w:pos="2552"/>
        </w:tabs>
        <w:ind w:left="2552" w:hanging="255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2718016" cy="2217887"/>
                <wp:effectExtent b="0" l="0" r="0" t="0"/>
                <wp:wrapNone/>
                <wp:docPr id="2" name=""/>
                <a:graphic>
                  <a:graphicData uri="http://schemas.microsoft.com/office/word/2010/wordprocessingShape">
                    <wps:wsp>
                      <wps:cNvSpPr/>
                      <wps:cNvPr id="2" name="Shape 2"/>
                      <wps:spPr>
                        <a:xfrm>
                          <a:off x="3991755" y="2675819"/>
                          <a:ext cx="2708491" cy="2208362"/>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Ditetapkan di Serang,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pada tanggal, ……………..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Pj. GUBERNUR BANTEN</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ttd</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2718016" cy="2217887"/>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18016" cy="2217887"/>
                        </a:xfrm>
                        <a:prstGeom prst="rect"/>
                        <a:ln/>
                      </pic:spPr>
                    </pic:pic>
                  </a:graphicData>
                </a:graphic>
              </wp:anchor>
            </w:drawing>
          </mc:Fallback>
        </mc:AlternateContent>
      </w:r>
    </w:p>
    <w:p w:rsidR="00000000" w:rsidDel="00000000" w:rsidP="00000000" w:rsidRDefault="00000000" w:rsidRPr="00000000" w14:paraId="0000001F">
      <w:pPr>
        <w:tabs>
          <w:tab w:val="left" w:leader="none" w:pos="1843"/>
          <w:tab w:val="left" w:leader="none" w:pos="2268"/>
          <w:tab w:val="left" w:leader="none" w:pos="2410"/>
          <w:tab w:val="left" w:leader="none" w:pos="2552"/>
        </w:tabs>
        <w:ind w:left="2552" w:hanging="2552"/>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0">
      <w:pPr>
        <w:tabs>
          <w:tab w:val="left" w:leader="none" w:pos="1843"/>
          <w:tab w:val="left" w:leader="none" w:pos="2268"/>
          <w:tab w:val="left" w:leader="none" w:pos="2410"/>
          <w:tab w:val="left" w:leader="none" w:pos="2552"/>
        </w:tabs>
        <w:ind w:left="2268" w:hanging="2268"/>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tabs>
          <w:tab w:val="left" w:leader="none" w:pos="1843"/>
          <w:tab w:val="left" w:leader="none" w:pos="2268"/>
          <w:tab w:val="left" w:leader="none" w:pos="2410"/>
          <w:tab w:val="left" w:leader="none" w:pos="2552"/>
          <w:tab w:val="left" w:leader="none" w:pos="2835"/>
          <w:tab w:val="left" w:leader="none" w:pos="3119"/>
        </w:tabs>
        <w:ind w:left="2835" w:hanging="2835"/>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tabs>
          <w:tab w:val="left" w:leader="none" w:pos="1843"/>
          <w:tab w:val="left" w:leader="none" w:pos="2268"/>
          <w:tab w:val="left" w:leader="none" w:pos="2410"/>
          <w:tab w:val="left" w:leader="none" w:pos="2552"/>
        </w:tabs>
        <w:ind w:left="2880" w:hanging="2265"/>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3">
      <w:pPr>
        <w:tabs>
          <w:tab w:val="left" w:leader="none" w:pos="2268"/>
          <w:tab w:val="left" w:leader="none" w:pos="2410"/>
        </w:tabs>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4">
      <w:pPr>
        <w:tabs>
          <w:tab w:val="left" w:leader="none" w:pos="2268"/>
          <w:tab w:val="left" w:leader="none" w:pos="2410"/>
        </w:tabs>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5">
      <w:pPr>
        <w:tabs>
          <w:tab w:val="left" w:leader="none" w:pos="2268"/>
          <w:tab w:val="left" w:leader="none" w:pos="2410"/>
        </w:tabs>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6">
      <w:pPr>
        <w:tabs>
          <w:tab w:val="left" w:leader="none" w:pos="2268"/>
          <w:tab w:val="left" w:leader="none" w:pos="2410"/>
        </w:tabs>
        <w:spacing w:after="0"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Tembusan: </w:t>
      </w:r>
      <w:r w:rsidDel="00000000" w:rsidR="00000000" w:rsidRPr="00000000">
        <w:rPr>
          <w:rFonts w:ascii="Bookman Old Style" w:cs="Bookman Old Style" w:eastAsia="Bookman Old Style" w:hAnsi="Bookman Old Style"/>
          <w:sz w:val="24"/>
          <w:szCs w:val="24"/>
          <w:highlight w:val="green"/>
          <w:rtl w:val="0"/>
        </w:rPr>
        <w:t xml:space="preserve">(bila perlu)</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 w:val="left" w:leader="none" w:pos="2410"/>
        </w:tabs>
        <w:spacing w:after="0" w:before="0" w:line="360" w:lineRule="auto"/>
        <w:ind w:left="426" w:right="0" w:hanging="426"/>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Menteri Pendidikan, Kebudayaan, Riset dan Teknologi;</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68"/>
          <w:tab w:val="left" w:leader="none" w:pos="2410"/>
        </w:tabs>
        <w:spacing w:after="0" w:before="0" w:line="360" w:lineRule="auto"/>
        <w:ind w:left="426" w:right="0" w:hanging="426"/>
        <w:jc w:val="left"/>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tl w:val="0"/>
        </w:rPr>
        <w:t xml:space="preserve">Inspektur Daerah Provinsi Banten;</w:t>
      </w:r>
    </w:p>
    <w:p w:rsidR="00000000" w:rsidDel="00000000" w:rsidP="00000000" w:rsidRDefault="00000000" w:rsidRPr="00000000" w14:paraId="00000029">
      <w:pPr>
        <w:tabs>
          <w:tab w:val="left" w:leader="none" w:pos="2268"/>
          <w:tab w:val="left" w:leader="none" w:pos="2410"/>
        </w:tabs>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tabs>
          <w:tab w:val="left" w:leader="none" w:pos="2268"/>
          <w:tab w:val="left" w:leader="none" w:pos="2410"/>
        </w:tabs>
        <w:spacing w:after="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tabs>
          <w:tab w:val="left" w:leader="none" w:pos="2268"/>
          <w:tab w:val="left" w:leader="none" w:pos="2410"/>
        </w:tabs>
        <w:spacing w:after="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sectPr>
      <w:footerReference r:id="rId8" w:type="default"/>
      <w:pgSz w:h="18722" w:w="12242" w:orient="portrait"/>
      <w:pgMar w:bottom="1699" w:top="1699" w:left="1699" w:right="1699"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4DE3"/>
    <w:pPr>
      <w:ind w:left="720"/>
      <w:contextualSpacing w:val="1"/>
    </w:pPr>
  </w:style>
  <w:style w:type="paragraph" w:styleId="BalloonText">
    <w:name w:val="Balloon Text"/>
    <w:basedOn w:val="Normal"/>
    <w:link w:val="BalloonTextChar"/>
    <w:uiPriority w:val="99"/>
    <w:semiHidden w:val="1"/>
    <w:unhideWhenUsed w:val="1"/>
    <w:rsid w:val="0081361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13614"/>
    <w:rPr>
      <w:rFonts w:ascii="Tahoma" w:cs="Tahoma" w:hAnsi="Tahoma"/>
      <w:sz w:val="16"/>
      <w:szCs w:val="16"/>
    </w:rPr>
  </w:style>
  <w:style w:type="paragraph" w:styleId="Header">
    <w:name w:val="header"/>
    <w:basedOn w:val="Normal"/>
    <w:link w:val="HeaderChar"/>
    <w:uiPriority w:val="99"/>
    <w:unhideWhenUsed w:val="1"/>
    <w:rsid w:val="00D74B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D74B08"/>
  </w:style>
  <w:style w:type="paragraph" w:styleId="Footer">
    <w:name w:val="footer"/>
    <w:basedOn w:val="Normal"/>
    <w:link w:val="FooterChar"/>
    <w:uiPriority w:val="99"/>
    <w:unhideWhenUsed w:val="1"/>
    <w:rsid w:val="00D74B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D74B0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9u5ZhoLfUkzusQIvZ0UyHFvS4w==">CgMxLjAyDmguZHo1cW51c25oZTZrOAByITFXaXF2SG5GeXZjTTNHRDdmLUhnaHRTTDVSaEllenhSbA==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2025-06-10T02:27:00Z</dcterms:created>
  <dc:creator>e-SP2D</dc:creator>
</cp:coreProperties>
</file>